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4F" w:rsidRPr="00962034" w:rsidRDefault="003B30DE" w:rsidP="003B30DE">
      <w:pPr>
        <w:spacing w:before="120" w:after="120"/>
        <w:rPr>
          <w:b/>
        </w:rPr>
      </w:pPr>
      <w:r w:rsidRPr="00962034">
        <w:rPr>
          <w:b/>
        </w:rPr>
        <w:t>Introduction</w:t>
      </w:r>
    </w:p>
    <w:p w:rsidR="003B30DE" w:rsidRPr="00962034" w:rsidRDefault="003B30DE" w:rsidP="003B30DE">
      <w:pPr>
        <w:spacing w:before="120" w:after="120"/>
        <w:jc w:val="both"/>
      </w:pPr>
      <w:r w:rsidRPr="00962034">
        <w:t>Manual handling causes over a third of all workplace injuries. These include work-related musculoskeletal disorders (MSDs) such as pain and injuries to arms, legs</w:t>
      </w:r>
      <w:r w:rsidRPr="00962034">
        <w:t>,</w:t>
      </w:r>
      <w:r w:rsidRPr="00962034">
        <w:t xml:space="preserve"> and joints, and repetitive strain injuries of various sorts.</w:t>
      </w:r>
    </w:p>
    <w:p w:rsidR="003B30DE" w:rsidRPr="00962034" w:rsidRDefault="003B30DE" w:rsidP="003B30DE">
      <w:pPr>
        <w:spacing w:before="120" w:after="120"/>
        <w:jc w:val="both"/>
      </w:pPr>
      <w:r w:rsidRPr="00962034">
        <w:t>The term manual handling covers a wide variety of activities including lifting, lowering, pushing, pulling</w:t>
      </w:r>
      <w:r w:rsidRPr="00962034">
        <w:t>,</w:t>
      </w:r>
      <w:r w:rsidRPr="00962034">
        <w:t xml:space="preserve"> and carrying. If any of these tasks are not carried out </w:t>
      </w:r>
      <w:proofErr w:type="gramStart"/>
      <w:r w:rsidRPr="00962034">
        <w:t>appropriately</w:t>
      </w:r>
      <w:proofErr w:type="gramEnd"/>
      <w:r w:rsidRPr="00962034">
        <w:t xml:space="preserve"> there is a risk of injury.</w:t>
      </w:r>
    </w:p>
    <w:p w:rsidR="003B30DE" w:rsidRPr="00962034" w:rsidRDefault="003B30DE" w:rsidP="003B30DE">
      <w:pPr>
        <w:pStyle w:val="Pa5"/>
        <w:spacing w:before="120" w:after="120"/>
        <w:jc w:val="both"/>
        <w:rPr>
          <w:rFonts w:ascii="Arial" w:hAnsi="Arial" w:cs="Arial"/>
          <w:sz w:val="22"/>
          <w:szCs w:val="22"/>
        </w:rPr>
      </w:pPr>
      <w:r w:rsidRPr="00962034">
        <w:rPr>
          <w:rFonts w:ascii="Arial" w:hAnsi="Arial" w:cs="Arial"/>
          <w:b/>
          <w:bCs/>
          <w:sz w:val="22"/>
          <w:szCs w:val="22"/>
        </w:rPr>
        <w:t xml:space="preserve">What does the law say? </w:t>
      </w:r>
    </w:p>
    <w:p w:rsidR="003B30DE" w:rsidRPr="00962034" w:rsidRDefault="003B30DE" w:rsidP="003B30DE">
      <w:pPr>
        <w:pStyle w:val="Pa1"/>
        <w:spacing w:before="120" w:after="120"/>
        <w:jc w:val="both"/>
        <w:rPr>
          <w:rFonts w:ascii="Arial" w:hAnsi="Arial" w:cs="Arial"/>
          <w:color w:val="000000"/>
          <w:sz w:val="22"/>
          <w:szCs w:val="22"/>
        </w:rPr>
      </w:pPr>
      <w:r w:rsidRPr="00962034">
        <w:rPr>
          <w:rFonts w:ascii="Arial" w:hAnsi="Arial" w:cs="Arial"/>
          <w:color w:val="000000"/>
          <w:sz w:val="22"/>
          <w:szCs w:val="22"/>
        </w:rPr>
        <w:t xml:space="preserve">The Manual Handling Operations Regulations 1992 set out a clear hierarchy of measures for dealing with risk likely to cause harm from manual handling. These are: </w:t>
      </w:r>
    </w:p>
    <w:p w:rsidR="003B30DE" w:rsidRPr="00962034" w:rsidRDefault="003B30DE" w:rsidP="00962034">
      <w:pPr>
        <w:pStyle w:val="Default"/>
        <w:numPr>
          <w:ilvl w:val="0"/>
          <w:numId w:val="30"/>
        </w:numPr>
        <w:ind w:left="1262" w:hanging="360"/>
        <w:jc w:val="both"/>
        <w:rPr>
          <w:rFonts w:ascii="Arial" w:hAnsi="Arial" w:cs="Arial"/>
          <w:sz w:val="22"/>
          <w:szCs w:val="22"/>
        </w:rPr>
      </w:pPr>
      <w:r w:rsidRPr="00962034">
        <w:rPr>
          <w:rFonts w:ascii="Arial" w:hAnsi="Arial" w:cs="Arial"/>
          <w:sz w:val="22"/>
          <w:szCs w:val="22"/>
        </w:rPr>
        <w:t xml:space="preserve">avoid hazardous manual handling operations so far as reasonably practicable; </w:t>
      </w:r>
    </w:p>
    <w:p w:rsidR="003B30DE" w:rsidRPr="00962034" w:rsidRDefault="003B30DE" w:rsidP="00962034">
      <w:pPr>
        <w:pStyle w:val="Default"/>
        <w:numPr>
          <w:ilvl w:val="0"/>
          <w:numId w:val="30"/>
        </w:numPr>
        <w:ind w:left="1262" w:hanging="360"/>
        <w:jc w:val="both"/>
        <w:rPr>
          <w:rFonts w:ascii="Arial" w:hAnsi="Arial" w:cs="Arial"/>
          <w:sz w:val="22"/>
          <w:szCs w:val="22"/>
        </w:rPr>
      </w:pPr>
      <w:r w:rsidRPr="00962034">
        <w:rPr>
          <w:rFonts w:ascii="Arial" w:hAnsi="Arial" w:cs="Arial"/>
          <w:sz w:val="22"/>
          <w:szCs w:val="22"/>
        </w:rPr>
        <w:t xml:space="preserve">assess any manual handling operations that cannot be avoided; </w:t>
      </w:r>
    </w:p>
    <w:p w:rsidR="003B30DE" w:rsidRPr="00962034" w:rsidRDefault="003B30DE" w:rsidP="00962034">
      <w:pPr>
        <w:pStyle w:val="Default"/>
        <w:numPr>
          <w:ilvl w:val="0"/>
          <w:numId w:val="30"/>
        </w:numPr>
        <w:spacing w:after="120"/>
        <w:ind w:left="1262" w:hanging="360"/>
        <w:jc w:val="both"/>
        <w:rPr>
          <w:rFonts w:ascii="Arial" w:hAnsi="Arial" w:cs="Arial"/>
          <w:sz w:val="22"/>
          <w:szCs w:val="22"/>
        </w:rPr>
      </w:pPr>
      <w:proofErr w:type="gramStart"/>
      <w:r w:rsidRPr="00962034">
        <w:rPr>
          <w:rFonts w:ascii="Arial" w:hAnsi="Arial" w:cs="Arial"/>
          <w:sz w:val="22"/>
          <w:szCs w:val="22"/>
        </w:rPr>
        <w:t>reduce</w:t>
      </w:r>
      <w:proofErr w:type="gramEnd"/>
      <w:r w:rsidRPr="00962034">
        <w:rPr>
          <w:rFonts w:ascii="Arial" w:hAnsi="Arial" w:cs="Arial"/>
          <w:sz w:val="22"/>
          <w:szCs w:val="22"/>
        </w:rPr>
        <w:t xml:space="preserve"> the risk of injury t</w:t>
      </w:r>
      <w:r w:rsidRPr="00962034">
        <w:rPr>
          <w:rFonts w:ascii="Arial" w:hAnsi="Arial" w:cs="Arial"/>
          <w:sz w:val="22"/>
          <w:szCs w:val="22"/>
        </w:rPr>
        <w:t>o</w:t>
      </w:r>
      <w:r w:rsidRPr="00962034">
        <w:rPr>
          <w:rFonts w:ascii="Arial" w:hAnsi="Arial" w:cs="Arial"/>
          <w:sz w:val="22"/>
          <w:szCs w:val="22"/>
        </w:rPr>
        <w:t xml:space="preserve">o as low as reasonably practicable. </w:t>
      </w:r>
    </w:p>
    <w:p w:rsidR="003B30DE" w:rsidRPr="00962034" w:rsidRDefault="003B30DE" w:rsidP="003B30DE">
      <w:pPr>
        <w:widowControl/>
        <w:autoSpaceDE w:val="0"/>
        <w:autoSpaceDN w:val="0"/>
        <w:adjustRightInd w:val="0"/>
        <w:rPr>
          <w:rFonts w:eastAsiaTheme="minorHAnsi"/>
          <w:lang w:val="en-GB"/>
        </w:rPr>
      </w:pPr>
      <w:r w:rsidRPr="00962034">
        <w:t xml:space="preserve">The Regulations </w:t>
      </w:r>
      <w:r w:rsidRPr="00962034">
        <w:rPr>
          <w:rFonts w:eastAsiaTheme="minorHAnsi"/>
          <w:lang w:val="en-GB"/>
        </w:rPr>
        <w:t>also require employees to follow s</w:t>
      </w:r>
      <w:r w:rsidRPr="00962034">
        <w:rPr>
          <w:rFonts w:eastAsiaTheme="minorHAnsi"/>
          <w:lang w:val="en-GB"/>
        </w:rPr>
        <w:t xml:space="preserve">ystems of work laid down by the </w:t>
      </w:r>
      <w:r w:rsidRPr="00962034">
        <w:rPr>
          <w:rFonts w:eastAsiaTheme="minorHAnsi"/>
          <w:lang w:val="en-GB"/>
        </w:rPr>
        <w:t>employer to promote safety in the manual handling of loads.</w:t>
      </w:r>
    </w:p>
    <w:p w:rsidR="003B30DE" w:rsidRPr="00962034" w:rsidRDefault="003B30DE" w:rsidP="003B30DE">
      <w:pPr>
        <w:pStyle w:val="Default"/>
        <w:spacing w:before="120" w:after="120"/>
        <w:jc w:val="both"/>
        <w:rPr>
          <w:rFonts w:ascii="Arial" w:hAnsi="Arial" w:cs="Arial"/>
          <w:b/>
          <w:sz w:val="22"/>
          <w:szCs w:val="22"/>
        </w:rPr>
      </w:pPr>
      <w:r w:rsidRPr="00962034">
        <w:rPr>
          <w:rFonts w:ascii="Arial" w:hAnsi="Arial" w:cs="Arial"/>
          <w:b/>
          <w:sz w:val="22"/>
          <w:szCs w:val="22"/>
        </w:rPr>
        <w:t>What is the risk?</w:t>
      </w:r>
    </w:p>
    <w:p w:rsidR="003B30DE" w:rsidRPr="00962034" w:rsidRDefault="00493A78" w:rsidP="003B30DE">
      <w:pPr>
        <w:pStyle w:val="Default"/>
        <w:spacing w:before="120" w:after="120"/>
        <w:jc w:val="both"/>
        <w:rPr>
          <w:rFonts w:ascii="Arial" w:hAnsi="Arial" w:cs="Arial"/>
          <w:sz w:val="22"/>
          <w:szCs w:val="22"/>
        </w:rPr>
      </w:pPr>
      <w:r>
        <w:rPr>
          <w:noProof/>
          <w:lang w:eastAsia="en-GB"/>
        </w:rPr>
        <w:drawing>
          <wp:anchor distT="0" distB="0" distL="114300" distR="114300" simplePos="0" relativeHeight="251658240" behindDoc="0" locked="0" layoutInCell="1" allowOverlap="1">
            <wp:simplePos x="0" y="0"/>
            <wp:positionH relativeFrom="column">
              <wp:posOffset>4853205</wp:posOffset>
            </wp:positionH>
            <wp:positionV relativeFrom="paragraph">
              <wp:posOffset>48260</wp:posOffset>
            </wp:positionV>
            <wp:extent cx="1236345" cy="1801495"/>
            <wp:effectExtent l="0" t="0" r="1905" b="825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45" cy="180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0DE" w:rsidRPr="00962034">
        <w:rPr>
          <w:rFonts w:ascii="Arial" w:hAnsi="Arial" w:cs="Arial"/>
          <w:sz w:val="22"/>
          <w:szCs w:val="22"/>
        </w:rPr>
        <w:t>Incorrect manual handling is one of the most common causes of injury at work. It causes work-related musculoskeletal disorders (MSDs) which account for over a third of workplace injuries. The term ‘musculoskeletal disorders’ covers any injury, damage</w:t>
      </w:r>
      <w:r w:rsidR="00962034" w:rsidRPr="00962034">
        <w:rPr>
          <w:rFonts w:ascii="Arial" w:hAnsi="Arial" w:cs="Arial"/>
          <w:sz w:val="22"/>
          <w:szCs w:val="22"/>
        </w:rPr>
        <w:t>,</w:t>
      </w:r>
      <w:r w:rsidR="003B30DE" w:rsidRPr="00962034">
        <w:rPr>
          <w:rFonts w:ascii="Arial" w:hAnsi="Arial" w:cs="Arial"/>
          <w:sz w:val="22"/>
          <w:szCs w:val="22"/>
        </w:rPr>
        <w:t xml:space="preserve"> or disorder of the joints or other tissues in the upper / lower limbs or the back. These injuries can be highly debilitating and often result in time off work with an average of 16 days lost for each case. The construction sector loses 1.2 million working days due to ill health, 64% of which resulted from work</w:t>
      </w:r>
      <w:r w:rsidR="003B30DE" w:rsidRPr="00962034">
        <w:rPr>
          <w:rFonts w:ascii="Arial" w:hAnsi="Arial" w:cs="Arial"/>
          <w:sz w:val="22"/>
          <w:szCs w:val="22"/>
        </w:rPr>
        <w:t>-</w:t>
      </w:r>
      <w:r w:rsidR="003B30DE" w:rsidRPr="00962034">
        <w:rPr>
          <w:rFonts w:ascii="Arial" w:hAnsi="Arial" w:cs="Arial"/>
          <w:sz w:val="22"/>
          <w:szCs w:val="22"/>
        </w:rPr>
        <w:t>related MSDs.</w:t>
      </w:r>
    </w:p>
    <w:p w:rsidR="003B30DE" w:rsidRPr="00962034" w:rsidRDefault="003B30DE" w:rsidP="003B30DE">
      <w:pPr>
        <w:pStyle w:val="Default"/>
        <w:spacing w:before="120" w:after="120"/>
        <w:jc w:val="both"/>
        <w:rPr>
          <w:rFonts w:ascii="Arial" w:hAnsi="Arial" w:cs="Arial"/>
          <w:sz w:val="22"/>
          <w:szCs w:val="22"/>
        </w:rPr>
      </w:pPr>
      <w:r w:rsidRPr="00962034">
        <w:rPr>
          <w:rFonts w:ascii="Arial" w:hAnsi="Arial" w:cs="Arial"/>
          <w:sz w:val="22"/>
          <w:szCs w:val="22"/>
        </w:rPr>
        <w:t>Many MSDs take a long time to develop and are not a result of a single incident. There is also evidence that heavy manual labour, awkward postures, repetitive actions</w:t>
      </w:r>
      <w:r w:rsidR="00962034" w:rsidRPr="00962034">
        <w:rPr>
          <w:rFonts w:ascii="Arial" w:hAnsi="Arial" w:cs="Arial"/>
          <w:sz w:val="22"/>
          <w:szCs w:val="22"/>
        </w:rPr>
        <w:t>,</w:t>
      </w:r>
      <w:r w:rsidRPr="00962034">
        <w:rPr>
          <w:rFonts w:ascii="Arial" w:hAnsi="Arial" w:cs="Arial"/>
          <w:sz w:val="22"/>
          <w:szCs w:val="22"/>
        </w:rPr>
        <w:t xml:space="preserve"> and existing injuries are all risk factors in the development of MSDs</w:t>
      </w:r>
    </w:p>
    <w:p w:rsidR="003B30DE" w:rsidRPr="00962034" w:rsidRDefault="003B30DE" w:rsidP="003B30DE">
      <w:pPr>
        <w:spacing w:before="120" w:after="120"/>
        <w:jc w:val="both"/>
      </w:pPr>
      <w:r w:rsidRPr="00962034">
        <w:rPr>
          <w:b/>
        </w:rPr>
        <w:t>Typical high-risk manual handling risks in construction</w:t>
      </w:r>
    </w:p>
    <w:p w:rsidR="003B30DE" w:rsidRPr="00962034" w:rsidRDefault="003B30DE" w:rsidP="003B30DE">
      <w:pPr>
        <w:spacing w:before="120" w:after="120"/>
        <w:jc w:val="both"/>
      </w:pPr>
      <w:r w:rsidRPr="00962034">
        <w:t>Any task that involves exerting a force on another object including lifting, lowering, pushing</w:t>
      </w:r>
      <w:r w:rsidR="00962034" w:rsidRPr="00962034">
        <w:t>,</w:t>
      </w:r>
      <w:r w:rsidRPr="00962034">
        <w:t xml:space="preserve"> or pulling </w:t>
      </w:r>
      <w:proofErr w:type="gramStart"/>
      <w:r w:rsidRPr="00962034">
        <w:t>is considered</w:t>
      </w:r>
      <w:proofErr w:type="gramEnd"/>
      <w:r w:rsidRPr="00962034">
        <w:t xml:space="preserve"> “manual handling”.</w:t>
      </w:r>
    </w:p>
    <w:tbl>
      <w:tblPr>
        <w:tblStyle w:val="TableGrid"/>
        <w:tblW w:w="0" w:type="auto"/>
        <w:tblLook w:val="04A0" w:firstRow="1" w:lastRow="0" w:firstColumn="1" w:lastColumn="0" w:noHBand="0" w:noVBand="1"/>
      </w:tblPr>
      <w:tblGrid>
        <w:gridCol w:w="3207"/>
        <w:gridCol w:w="3207"/>
        <w:gridCol w:w="3208"/>
      </w:tblGrid>
      <w:tr w:rsidR="003B30DE" w:rsidRPr="00962034" w:rsidTr="003B30DE">
        <w:tc>
          <w:tcPr>
            <w:tcW w:w="9622" w:type="dxa"/>
            <w:gridSpan w:val="3"/>
            <w:shd w:val="clear" w:color="auto" w:fill="C00000"/>
            <w:vAlign w:val="center"/>
          </w:tcPr>
          <w:p w:rsidR="003B30DE" w:rsidRPr="00962034" w:rsidRDefault="003B30DE" w:rsidP="003B30DE">
            <w:pPr>
              <w:spacing w:before="120" w:after="120"/>
            </w:pPr>
            <w:r w:rsidRPr="00962034">
              <w:t xml:space="preserve">Typical Manual handling tasks undertaken on a Breheny Project </w:t>
            </w:r>
          </w:p>
        </w:tc>
      </w:tr>
      <w:tr w:rsidR="003B30DE" w:rsidRPr="00962034" w:rsidTr="003B30DE">
        <w:tc>
          <w:tcPr>
            <w:tcW w:w="3207" w:type="dxa"/>
            <w:shd w:val="clear" w:color="auto" w:fill="F2F2F2" w:themeFill="background1" w:themeFillShade="F2"/>
            <w:vAlign w:val="center"/>
          </w:tcPr>
          <w:p w:rsidR="003B30DE" w:rsidRPr="00962034" w:rsidRDefault="003B30DE" w:rsidP="003B30DE">
            <w:pPr>
              <w:spacing w:before="120" w:after="120"/>
            </w:pPr>
            <w:r w:rsidRPr="00962034">
              <w:t>Block Laying</w:t>
            </w:r>
          </w:p>
        </w:tc>
        <w:tc>
          <w:tcPr>
            <w:tcW w:w="3207" w:type="dxa"/>
            <w:shd w:val="clear" w:color="auto" w:fill="F2F2F2" w:themeFill="background1" w:themeFillShade="F2"/>
            <w:vAlign w:val="center"/>
          </w:tcPr>
          <w:p w:rsidR="003B30DE" w:rsidRPr="00962034" w:rsidRDefault="003B30DE" w:rsidP="003B30DE">
            <w:pPr>
              <w:spacing w:before="120" w:after="120"/>
            </w:pPr>
            <w:r w:rsidRPr="00962034">
              <w:t>Erection and Dismantling of Signage</w:t>
            </w:r>
          </w:p>
        </w:tc>
        <w:tc>
          <w:tcPr>
            <w:tcW w:w="3208" w:type="dxa"/>
            <w:shd w:val="clear" w:color="auto" w:fill="F2F2F2" w:themeFill="background1" w:themeFillShade="F2"/>
            <w:vAlign w:val="center"/>
          </w:tcPr>
          <w:p w:rsidR="003B30DE" w:rsidRPr="00962034" w:rsidRDefault="003B30DE" w:rsidP="003B30DE">
            <w:pPr>
              <w:spacing w:before="120" w:after="120"/>
            </w:pPr>
            <w:r w:rsidRPr="00962034">
              <w:t>Operation of Handheld Compactors</w:t>
            </w:r>
          </w:p>
        </w:tc>
      </w:tr>
      <w:tr w:rsidR="003B30DE" w:rsidRPr="00962034" w:rsidTr="003B30DE">
        <w:tc>
          <w:tcPr>
            <w:tcW w:w="3207" w:type="dxa"/>
            <w:vAlign w:val="center"/>
          </w:tcPr>
          <w:p w:rsidR="003B30DE" w:rsidRPr="00962034" w:rsidRDefault="003B30DE" w:rsidP="003B30DE">
            <w:pPr>
              <w:spacing w:before="120" w:after="120"/>
            </w:pPr>
            <w:r w:rsidRPr="00962034">
              <w:t>Laying of drainage – handling, plastic, ceramic and concrete pipes, and fittings</w:t>
            </w:r>
          </w:p>
        </w:tc>
        <w:tc>
          <w:tcPr>
            <w:tcW w:w="3207" w:type="dxa"/>
            <w:vAlign w:val="center"/>
          </w:tcPr>
          <w:p w:rsidR="003B30DE" w:rsidRPr="00962034" w:rsidRDefault="003B30DE" w:rsidP="003B30DE">
            <w:pPr>
              <w:spacing w:before="120" w:after="120"/>
            </w:pPr>
            <w:r w:rsidRPr="00962034">
              <w:t xml:space="preserve">General </w:t>
            </w:r>
            <w:proofErr w:type="spellStart"/>
            <w:r w:rsidRPr="00962034">
              <w:t>Shovelling</w:t>
            </w:r>
            <w:proofErr w:type="spellEnd"/>
            <w:r w:rsidRPr="00962034">
              <w:t xml:space="preserve"> and Raking</w:t>
            </w:r>
          </w:p>
        </w:tc>
        <w:tc>
          <w:tcPr>
            <w:tcW w:w="3208" w:type="dxa"/>
            <w:vAlign w:val="center"/>
          </w:tcPr>
          <w:p w:rsidR="003B30DE" w:rsidRPr="00962034" w:rsidRDefault="003B30DE" w:rsidP="003B30DE">
            <w:pPr>
              <w:spacing w:before="120" w:after="120"/>
              <w:rPr>
                <w:lang w:val="en-GB"/>
              </w:rPr>
            </w:pPr>
            <w:r w:rsidRPr="00962034">
              <w:rPr>
                <w:lang w:val="en-GB"/>
              </w:rPr>
              <w:t>Installation of TM</w:t>
            </w:r>
          </w:p>
        </w:tc>
      </w:tr>
      <w:tr w:rsidR="003B30DE" w:rsidRPr="00962034" w:rsidTr="003B30DE">
        <w:tc>
          <w:tcPr>
            <w:tcW w:w="3207" w:type="dxa"/>
            <w:shd w:val="clear" w:color="auto" w:fill="F2F2F2" w:themeFill="background1" w:themeFillShade="F2"/>
            <w:vAlign w:val="center"/>
          </w:tcPr>
          <w:p w:rsidR="003B30DE" w:rsidRPr="00962034" w:rsidRDefault="003B30DE" w:rsidP="003B30DE">
            <w:pPr>
              <w:spacing w:before="120" w:after="120"/>
            </w:pPr>
            <w:r w:rsidRPr="00962034">
              <w:t>Installation/removal of Manhole Covers/lids etc.</w:t>
            </w:r>
          </w:p>
        </w:tc>
        <w:tc>
          <w:tcPr>
            <w:tcW w:w="3207" w:type="dxa"/>
            <w:shd w:val="clear" w:color="auto" w:fill="F2F2F2" w:themeFill="background1" w:themeFillShade="F2"/>
            <w:vAlign w:val="center"/>
          </w:tcPr>
          <w:p w:rsidR="003B30DE" w:rsidRPr="00962034" w:rsidRDefault="003B30DE" w:rsidP="003B30DE">
            <w:pPr>
              <w:spacing w:before="120" w:after="120"/>
            </w:pPr>
            <w:r w:rsidRPr="00962034">
              <w:t>Use of bagged aggregates / Cement</w:t>
            </w:r>
          </w:p>
        </w:tc>
        <w:tc>
          <w:tcPr>
            <w:tcW w:w="3208" w:type="dxa"/>
            <w:shd w:val="clear" w:color="auto" w:fill="F2F2F2" w:themeFill="background1" w:themeFillShade="F2"/>
            <w:vAlign w:val="center"/>
          </w:tcPr>
          <w:p w:rsidR="003B30DE" w:rsidRPr="00962034" w:rsidRDefault="003B30DE" w:rsidP="003B30DE">
            <w:pPr>
              <w:spacing w:before="120" w:after="120"/>
              <w:rPr>
                <w:lang w:val="en-GB"/>
              </w:rPr>
            </w:pPr>
            <w:r w:rsidRPr="00962034">
              <w:rPr>
                <w:lang w:val="en-GB"/>
              </w:rPr>
              <w:t>Use of Disc Cutters</w:t>
            </w:r>
          </w:p>
        </w:tc>
      </w:tr>
    </w:tbl>
    <w:p w:rsidR="003B30DE" w:rsidRPr="00962034" w:rsidRDefault="003B30DE" w:rsidP="003B30DE">
      <w:pPr>
        <w:spacing w:before="120" w:after="120"/>
        <w:jc w:val="both"/>
      </w:pPr>
      <w:r w:rsidRPr="00962034">
        <w:t xml:space="preserve">A common misconception is that </w:t>
      </w:r>
      <w:proofErr w:type="gramStart"/>
      <w:r w:rsidRPr="00962034">
        <w:t>any load of less than 25kg can be safely lifted by an individual</w:t>
      </w:r>
      <w:proofErr w:type="gramEnd"/>
      <w:r w:rsidRPr="00962034">
        <w:t xml:space="preserve">. In fact, this figure </w:t>
      </w:r>
      <w:proofErr w:type="gramStart"/>
      <w:r w:rsidRPr="00962034">
        <w:t>is based</w:t>
      </w:r>
      <w:proofErr w:type="gramEnd"/>
      <w:r w:rsidRPr="00962034">
        <w:t xml:space="preserve"> on what a healthy adult male can reasonably carry in his trunk region, close to his body. This figure drops dramatically as the load </w:t>
      </w:r>
      <w:proofErr w:type="gramStart"/>
      <w:r w:rsidRPr="00962034">
        <w:t>is moved away from the body or lowered or raised</w:t>
      </w:r>
      <w:proofErr w:type="gramEnd"/>
      <w:r w:rsidRPr="00962034">
        <w:t>. Different figures are also available for females.</w:t>
      </w:r>
    </w:p>
    <w:p w:rsidR="003B30DE" w:rsidRPr="00962034" w:rsidRDefault="003B30DE" w:rsidP="003B30DE">
      <w:pPr>
        <w:spacing w:before="120" w:after="120"/>
        <w:jc w:val="both"/>
        <w:rPr>
          <w:b/>
        </w:rPr>
      </w:pPr>
      <w:r w:rsidRPr="00962034">
        <w:rPr>
          <w:b/>
        </w:rPr>
        <w:lastRenderedPageBreak/>
        <w:t>Assessing the risk</w:t>
      </w:r>
    </w:p>
    <w:p w:rsidR="003B30DE" w:rsidRPr="00962034" w:rsidRDefault="00493A78" w:rsidP="003B30DE">
      <w:pPr>
        <w:pStyle w:val="paragraph"/>
        <w:spacing w:before="120" w:beforeAutospacing="0" w:after="120" w:afterAutospacing="0"/>
        <w:jc w:val="both"/>
        <w:textAlignment w:val="baseline"/>
        <w:rPr>
          <w:rFonts w:ascii="Segoe UI" w:hAnsi="Segoe UI" w:cs="Segoe UI"/>
          <w:sz w:val="22"/>
          <w:szCs w:val="22"/>
        </w:rPr>
      </w:pPr>
      <w:r>
        <w:rPr>
          <w:noProof/>
        </w:rPr>
        <w:drawing>
          <wp:anchor distT="0" distB="0" distL="114300" distR="114300" simplePos="0" relativeHeight="251659264" behindDoc="0" locked="0" layoutInCell="1" allowOverlap="1">
            <wp:simplePos x="0" y="0"/>
            <wp:positionH relativeFrom="column">
              <wp:posOffset>4995678</wp:posOffset>
            </wp:positionH>
            <wp:positionV relativeFrom="paragraph">
              <wp:posOffset>28274</wp:posOffset>
            </wp:positionV>
            <wp:extent cx="1390015" cy="2162810"/>
            <wp:effectExtent l="0" t="0" r="635" b="889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216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0DE" w:rsidRPr="00962034">
        <w:rPr>
          <w:rStyle w:val="normaltextrun"/>
          <w:rFonts w:ascii="Arial" w:hAnsi="Arial" w:cs="Arial"/>
          <w:sz w:val="22"/>
          <w:szCs w:val="22"/>
          <w:lang w:val="en-US"/>
        </w:rPr>
        <w:t>W</w:t>
      </w:r>
      <w:r w:rsidR="003B30DE" w:rsidRPr="00962034">
        <w:rPr>
          <w:rStyle w:val="normaltextrun"/>
          <w:rFonts w:ascii="Arial" w:hAnsi="Arial" w:cs="Arial"/>
          <w:sz w:val="22"/>
          <w:szCs w:val="22"/>
          <w:lang w:val="en-US"/>
        </w:rPr>
        <w:t xml:space="preserve">orks </w:t>
      </w:r>
      <w:proofErr w:type="gramStart"/>
      <w:r w:rsidR="003B30DE" w:rsidRPr="00962034">
        <w:rPr>
          <w:rStyle w:val="normaltextrun"/>
          <w:rFonts w:ascii="Arial" w:hAnsi="Arial" w:cs="Arial"/>
          <w:sz w:val="22"/>
          <w:szCs w:val="22"/>
          <w:lang w:val="en-US"/>
        </w:rPr>
        <w:t>must be planned</w:t>
      </w:r>
      <w:proofErr w:type="gramEnd"/>
      <w:r w:rsidR="003B30DE" w:rsidRPr="00962034">
        <w:rPr>
          <w:rStyle w:val="normaltextrun"/>
          <w:rFonts w:ascii="Arial" w:hAnsi="Arial" w:cs="Arial"/>
          <w:sz w:val="22"/>
          <w:szCs w:val="22"/>
          <w:lang w:val="en-US"/>
        </w:rPr>
        <w:t xml:space="preserve"> to minimise the risks associated with manual handling. A safe system of work </w:t>
      </w:r>
      <w:proofErr w:type="gramStart"/>
      <w:r w:rsidR="003B30DE" w:rsidRPr="00962034">
        <w:rPr>
          <w:rStyle w:val="normaltextrun"/>
          <w:rFonts w:ascii="Arial" w:hAnsi="Arial" w:cs="Arial"/>
          <w:sz w:val="22"/>
          <w:szCs w:val="22"/>
          <w:lang w:val="en-US"/>
        </w:rPr>
        <w:t>must be developed</w:t>
      </w:r>
      <w:proofErr w:type="gramEnd"/>
      <w:r w:rsidR="003B30DE" w:rsidRPr="00962034">
        <w:rPr>
          <w:rStyle w:val="normaltextrun"/>
          <w:rFonts w:ascii="Arial" w:hAnsi="Arial" w:cs="Arial"/>
          <w:sz w:val="22"/>
          <w:szCs w:val="22"/>
          <w:lang w:val="en-US"/>
        </w:rPr>
        <w:t xml:space="preserve"> that enables the task to be undertaken safely, without personal injury.</w:t>
      </w:r>
    </w:p>
    <w:p w:rsidR="003B30DE" w:rsidRPr="00962034" w:rsidRDefault="003B30DE" w:rsidP="003B30DE">
      <w:pPr>
        <w:pStyle w:val="paragraph"/>
        <w:spacing w:before="120" w:beforeAutospacing="0" w:after="120" w:afterAutospacing="0"/>
        <w:jc w:val="both"/>
        <w:textAlignment w:val="baseline"/>
        <w:rPr>
          <w:rFonts w:ascii="Segoe UI" w:hAnsi="Segoe UI" w:cs="Segoe UI"/>
          <w:sz w:val="22"/>
          <w:szCs w:val="22"/>
        </w:rPr>
      </w:pPr>
      <w:r w:rsidRPr="00962034">
        <w:rPr>
          <w:rStyle w:val="normaltextrun"/>
          <w:rFonts w:ascii="Arial" w:hAnsi="Arial" w:cs="Arial"/>
          <w:sz w:val="22"/>
          <w:szCs w:val="22"/>
          <w:lang w:val="en-US"/>
        </w:rPr>
        <w:t xml:space="preserve">When assessing </w:t>
      </w:r>
      <w:r w:rsidR="00962034" w:rsidRPr="00962034">
        <w:rPr>
          <w:rStyle w:val="normaltextrun"/>
          <w:rFonts w:ascii="Arial" w:hAnsi="Arial" w:cs="Arial"/>
          <w:sz w:val="22"/>
          <w:szCs w:val="22"/>
          <w:lang w:val="en-US"/>
        </w:rPr>
        <w:t xml:space="preserve">risks </w:t>
      </w:r>
      <w:r w:rsidRPr="00962034">
        <w:rPr>
          <w:rStyle w:val="normaltextrun"/>
          <w:rFonts w:ascii="Arial" w:hAnsi="Arial" w:cs="Arial"/>
          <w:sz w:val="22"/>
          <w:szCs w:val="22"/>
          <w:lang w:val="en-US"/>
        </w:rPr>
        <w:t xml:space="preserve">the following </w:t>
      </w:r>
      <w:proofErr w:type="gramStart"/>
      <w:r w:rsidRPr="00962034">
        <w:rPr>
          <w:rStyle w:val="normaltextrun"/>
          <w:rFonts w:ascii="Arial" w:hAnsi="Arial" w:cs="Arial"/>
          <w:sz w:val="22"/>
          <w:szCs w:val="22"/>
          <w:lang w:val="en-US"/>
        </w:rPr>
        <w:t>should be considered</w:t>
      </w:r>
      <w:proofErr w:type="gramEnd"/>
      <w:r w:rsidRPr="00962034">
        <w:rPr>
          <w:rStyle w:val="normaltextrun"/>
          <w:rFonts w:ascii="Arial" w:hAnsi="Arial" w:cs="Arial"/>
          <w:sz w:val="22"/>
          <w:szCs w:val="22"/>
          <w:lang w:val="en-US"/>
        </w:rPr>
        <w:t>:</w:t>
      </w:r>
    </w:p>
    <w:p w:rsidR="003B30DE" w:rsidRPr="00962034" w:rsidRDefault="003B30DE" w:rsidP="00962034">
      <w:pPr>
        <w:pStyle w:val="paragraph"/>
        <w:numPr>
          <w:ilvl w:val="0"/>
          <w:numId w:val="31"/>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weight of the load</w:t>
      </w:r>
    </w:p>
    <w:p w:rsidR="003B30DE" w:rsidRPr="00962034" w:rsidRDefault="003B30DE" w:rsidP="00962034">
      <w:pPr>
        <w:pStyle w:val="paragraph"/>
        <w:numPr>
          <w:ilvl w:val="0"/>
          <w:numId w:val="32"/>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size and shape of the load</w:t>
      </w:r>
    </w:p>
    <w:p w:rsidR="003B30DE" w:rsidRPr="00962034" w:rsidRDefault="003B30DE" w:rsidP="00962034">
      <w:pPr>
        <w:pStyle w:val="paragraph"/>
        <w:numPr>
          <w:ilvl w:val="0"/>
          <w:numId w:val="32"/>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posture during manual handling</w:t>
      </w:r>
    </w:p>
    <w:p w:rsidR="003B30DE" w:rsidRPr="00962034" w:rsidRDefault="00962034" w:rsidP="00962034">
      <w:pPr>
        <w:pStyle w:val="paragraph"/>
        <w:numPr>
          <w:ilvl w:val="0"/>
          <w:numId w:val="32"/>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 xml:space="preserve">the </w:t>
      </w:r>
      <w:r w:rsidR="003B30DE" w:rsidRPr="00962034">
        <w:rPr>
          <w:rStyle w:val="normaltextrun"/>
          <w:rFonts w:ascii="Arial" w:hAnsi="Arial" w:cs="Arial"/>
          <w:sz w:val="22"/>
          <w:szCs w:val="22"/>
          <w:lang w:val="en-US"/>
        </w:rPr>
        <w:t>distance you have to lift or lower the load</w:t>
      </w:r>
    </w:p>
    <w:p w:rsidR="003B30DE" w:rsidRPr="00962034" w:rsidRDefault="003B30DE" w:rsidP="00962034">
      <w:pPr>
        <w:pStyle w:val="paragraph"/>
        <w:numPr>
          <w:ilvl w:val="0"/>
          <w:numId w:val="32"/>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nature of the manual handling movement</w:t>
      </w:r>
    </w:p>
    <w:p w:rsidR="003B30DE" w:rsidRPr="00962034" w:rsidRDefault="003B30DE" w:rsidP="00962034">
      <w:pPr>
        <w:pStyle w:val="paragraph"/>
        <w:numPr>
          <w:ilvl w:val="0"/>
          <w:numId w:val="32"/>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frequency of the manual handling task</w:t>
      </w:r>
    </w:p>
    <w:p w:rsidR="003B30DE" w:rsidRPr="00962034" w:rsidRDefault="003B30DE" w:rsidP="00962034">
      <w:pPr>
        <w:pStyle w:val="paragraph"/>
        <w:numPr>
          <w:ilvl w:val="0"/>
          <w:numId w:val="33"/>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working environment:</w:t>
      </w:r>
    </w:p>
    <w:p w:rsidR="003B30DE" w:rsidRPr="00962034" w:rsidRDefault="003B30DE" w:rsidP="00962034">
      <w:pPr>
        <w:pStyle w:val="paragraph"/>
        <w:numPr>
          <w:ilvl w:val="0"/>
          <w:numId w:val="34"/>
        </w:numPr>
        <w:spacing w:before="0" w:beforeAutospacing="0" w:after="0" w:afterAutospacing="0"/>
        <w:ind w:left="540" w:firstLine="1275"/>
        <w:jc w:val="both"/>
        <w:textAlignment w:val="baseline"/>
        <w:rPr>
          <w:rFonts w:ascii="Arial" w:hAnsi="Arial" w:cs="Arial"/>
          <w:sz w:val="22"/>
          <w:szCs w:val="22"/>
        </w:rPr>
      </w:pPr>
      <w:r w:rsidRPr="00962034">
        <w:rPr>
          <w:rStyle w:val="normaltextrun"/>
          <w:rFonts w:ascii="Arial" w:hAnsi="Arial" w:cs="Arial"/>
          <w:sz w:val="22"/>
          <w:szCs w:val="22"/>
          <w:lang w:val="en-US"/>
        </w:rPr>
        <w:t>bumpy, obstructed</w:t>
      </w:r>
      <w:r w:rsidR="00962034" w:rsidRPr="00962034">
        <w:rPr>
          <w:rStyle w:val="normaltextrun"/>
          <w:rFonts w:ascii="Arial" w:hAnsi="Arial" w:cs="Arial"/>
          <w:sz w:val="22"/>
          <w:szCs w:val="22"/>
          <w:lang w:val="en-US"/>
        </w:rPr>
        <w:t>,</w:t>
      </w:r>
      <w:r w:rsidRPr="00962034">
        <w:rPr>
          <w:rStyle w:val="normaltextrun"/>
          <w:rFonts w:ascii="Arial" w:hAnsi="Arial" w:cs="Arial"/>
          <w:sz w:val="22"/>
          <w:szCs w:val="22"/>
          <w:lang w:val="en-US"/>
        </w:rPr>
        <w:t xml:space="preserve"> or slippery floors</w:t>
      </w:r>
    </w:p>
    <w:p w:rsidR="003B30DE" w:rsidRPr="00962034" w:rsidRDefault="003B30DE" w:rsidP="00962034">
      <w:pPr>
        <w:pStyle w:val="paragraph"/>
        <w:numPr>
          <w:ilvl w:val="0"/>
          <w:numId w:val="34"/>
        </w:numPr>
        <w:spacing w:before="0" w:beforeAutospacing="0" w:after="0" w:afterAutospacing="0"/>
        <w:ind w:left="540" w:firstLine="1275"/>
        <w:jc w:val="both"/>
        <w:textAlignment w:val="baseline"/>
        <w:rPr>
          <w:rFonts w:ascii="Arial" w:hAnsi="Arial" w:cs="Arial"/>
          <w:sz w:val="22"/>
          <w:szCs w:val="22"/>
        </w:rPr>
      </w:pPr>
      <w:r w:rsidRPr="00962034">
        <w:rPr>
          <w:rStyle w:val="normaltextrun"/>
          <w:rFonts w:ascii="Arial" w:hAnsi="Arial" w:cs="Arial"/>
          <w:sz w:val="22"/>
          <w:szCs w:val="22"/>
          <w:lang w:val="en-US"/>
        </w:rPr>
        <w:t>variations in floor levels</w:t>
      </w:r>
    </w:p>
    <w:p w:rsidR="003B30DE" w:rsidRPr="00962034" w:rsidRDefault="003B30DE" w:rsidP="00962034">
      <w:pPr>
        <w:pStyle w:val="paragraph"/>
        <w:numPr>
          <w:ilvl w:val="0"/>
          <w:numId w:val="34"/>
        </w:numPr>
        <w:spacing w:before="0" w:beforeAutospacing="0" w:after="0" w:afterAutospacing="0"/>
        <w:ind w:left="540" w:firstLine="1275"/>
        <w:jc w:val="both"/>
        <w:textAlignment w:val="baseline"/>
        <w:rPr>
          <w:rFonts w:ascii="Arial" w:hAnsi="Arial" w:cs="Arial"/>
          <w:sz w:val="22"/>
          <w:szCs w:val="22"/>
        </w:rPr>
      </w:pPr>
      <w:r w:rsidRPr="00962034">
        <w:rPr>
          <w:rStyle w:val="normaltextrun"/>
          <w:rFonts w:ascii="Arial" w:hAnsi="Arial" w:cs="Arial"/>
          <w:sz w:val="22"/>
          <w:szCs w:val="22"/>
          <w:lang w:val="en-US"/>
        </w:rPr>
        <w:t>hot/cold/humid conditions</w:t>
      </w:r>
    </w:p>
    <w:p w:rsidR="003B30DE" w:rsidRPr="00962034" w:rsidRDefault="003B30DE" w:rsidP="00962034">
      <w:pPr>
        <w:pStyle w:val="paragraph"/>
        <w:numPr>
          <w:ilvl w:val="0"/>
          <w:numId w:val="34"/>
        </w:numPr>
        <w:spacing w:before="0" w:beforeAutospacing="0" w:after="0" w:afterAutospacing="0"/>
        <w:ind w:left="1843" w:firstLine="0"/>
        <w:jc w:val="both"/>
        <w:textAlignment w:val="baseline"/>
        <w:rPr>
          <w:rFonts w:ascii="Arial" w:hAnsi="Arial" w:cs="Arial"/>
          <w:sz w:val="22"/>
          <w:szCs w:val="22"/>
        </w:rPr>
      </w:pPr>
      <w:r w:rsidRPr="00962034">
        <w:rPr>
          <w:rStyle w:val="normaltextrun"/>
          <w:rFonts w:ascii="Arial" w:hAnsi="Arial" w:cs="Arial"/>
          <w:sz w:val="22"/>
          <w:szCs w:val="22"/>
          <w:lang w:val="en-US"/>
        </w:rPr>
        <w:t>gusts of wind or other strong air movements</w:t>
      </w:r>
    </w:p>
    <w:p w:rsidR="003B30DE" w:rsidRPr="00962034" w:rsidRDefault="003B30DE" w:rsidP="00962034">
      <w:pPr>
        <w:pStyle w:val="paragraph"/>
        <w:numPr>
          <w:ilvl w:val="0"/>
          <w:numId w:val="35"/>
        </w:numPr>
        <w:spacing w:before="0" w:beforeAutospacing="0" w:after="0" w:afterAutospacing="0"/>
        <w:ind w:left="540" w:firstLine="1275"/>
        <w:jc w:val="both"/>
        <w:textAlignment w:val="baseline"/>
        <w:rPr>
          <w:rFonts w:ascii="Arial" w:hAnsi="Arial" w:cs="Arial"/>
          <w:sz w:val="22"/>
          <w:szCs w:val="22"/>
        </w:rPr>
      </w:pPr>
      <w:r w:rsidRPr="00962034">
        <w:rPr>
          <w:rStyle w:val="normaltextrun"/>
          <w:rFonts w:ascii="Arial" w:hAnsi="Arial" w:cs="Arial"/>
          <w:sz w:val="22"/>
          <w:szCs w:val="22"/>
          <w:lang w:val="en-US"/>
        </w:rPr>
        <w:t>poor lighting conditions</w:t>
      </w:r>
    </w:p>
    <w:p w:rsidR="003B30DE" w:rsidRPr="00962034" w:rsidRDefault="003B30DE" w:rsidP="00962034">
      <w:pPr>
        <w:pStyle w:val="paragraph"/>
        <w:numPr>
          <w:ilvl w:val="0"/>
          <w:numId w:val="36"/>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restrictions on movements from clothes or personal protective equipment (PPE)</w:t>
      </w:r>
    </w:p>
    <w:p w:rsidR="003B30DE" w:rsidRPr="00962034" w:rsidRDefault="003B30DE" w:rsidP="00962034">
      <w:pPr>
        <w:pStyle w:val="paragraph"/>
        <w:numPr>
          <w:ilvl w:val="0"/>
          <w:numId w:val="36"/>
        </w:numPr>
        <w:spacing w:before="0" w:beforeAutospacing="0" w:after="0" w:afterAutospacing="0"/>
        <w:ind w:left="105" w:firstLine="0"/>
        <w:jc w:val="both"/>
        <w:textAlignment w:val="baseline"/>
        <w:rPr>
          <w:rFonts w:ascii="Arial" w:hAnsi="Arial" w:cs="Arial"/>
          <w:sz w:val="22"/>
          <w:szCs w:val="22"/>
        </w:rPr>
      </w:pPr>
      <w:r w:rsidRPr="00962034">
        <w:rPr>
          <w:rStyle w:val="normaltextrun"/>
          <w:rFonts w:ascii="Arial" w:hAnsi="Arial" w:cs="Arial"/>
          <w:sz w:val="22"/>
          <w:szCs w:val="22"/>
          <w:lang w:val="en-US"/>
        </w:rPr>
        <w:t>the capability of the individual</w:t>
      </w:r>
      <w:r w:rsidRPr="00962034">
        <w:rPr>
          <w:rStyle w:val="eop"/>
          <w:rFonts w:eastAsia="Arial"/>
          <w:sz w:val="22"/>
          <w:szCs w:val="22"/>
        </w:rPr>
        <w:t xml:space="preserve"> </w:t>
      </w:r>
    </w:p>
    <w:p w:rsidR="003B30DE" w:rsidRPr="00962034" w:rsidRDefault="003B30DE" w:rsidP="003B30DE">
      <w:pPr>
        <w:pStyle w:val="paragraph"/>
        <w:spacing w:before="120" w:beforeAutospacing="0" w:after="120" w:afterAutospacing="0"/>
        <w:jc w:val="both"/>
        <w:textAlignment w:val="baseline"/>
        <w:rPr>
          <w:rStyle w:val="normaltextrun"/>
          <w:rFonts w:ascii="Arial" w:hAnsi="Arial" w:cs="Arial"/>
          <w:sz w:val="22"/>
          <w:szCs w:val="22"/>
          <w:lang w:val="en-US"/>
        </w:rPr>
      </w:pPr>
      <w:r w:rsidRPr="00962034">
        <w:rPr>
          <w:rStyle w:val="normaltextrun"/>
          <w:rFonts w:ascii="Arial" w:hAnsi="Arial" w:cs="Arial"/>
          <w:sz w:val="22"/>
          <w:szCs w:val="22"/>
          <w:lang w:val="en-US"/>
        </w:rPr>
        <w:t xml:space="preserve">Manual handling Risk Assessment </w:t>
      </w:r>
      <w:proofErr w:type="gramStart"/>
      <w:r w:rsidRPr="00962034">
        <w:rPr>
          <w:rStyle w:val="normaltextrun"/>
          <w:rFonts w:ascii="Arial" w:hAnsi="Arial" w:cs="Arial"/>
          <w:sz w:val="22"/>
          <w:szCs w:val="22"/>
          <w:lang w:val="en-US"/>
        </w:rPr>
        <w:t>must be recorded</w:t>
      </w:r>
      <w:proofErr w:type="gramEnd"/>
      <w:r w:rsidRPr="00962034">
        <w:rPr>
          <w:rStyle w:val="normaltextrun"/>
          <w:rFonts w:ascii="Arial" w:hAnsi="Arial" w:cs="Arial"/>
          <w:sz w:val="22"/>
          <w:szCs w:val="22"/>
          <w:lang w:val="en-US"/>
        </w:rPr>
        <w:t xml:space="preserve"> on BCE CP form 10/17.</w:t>
      </w:r>
    </w:p>
    <w:p w:rsidR="00962034" w:rsidRPr="00962034" w:rsidRDefault="00FA5D7F" w:rsidP="00962034">
      <w:pPr>
        <w:widowControl/>
        <w:autoSpaceDE w:val="0"/>
        <w:autoSpaceDN w:val="0"/>
        <w:adjustRightInd w:val="0"/>
        <w:jc w:val="both"/>
        <w:rPr>
          <w:rFonts w:eastAsiaTheme="minorHAnsi"/>
          <w:lang w:val="en-GB"/>
        </w:rPr>
      </w:pPr>
      <w:r>
        <w:rPr>
          <w:noProof/>
          <w:lang w:eastAsia="en-GB"/>
        </w:rPr>
        <w:drawing>
          <wp:anchor distT="0" distB="0" distL="114300" distR="114300" simplePos="0" relativeHeight="251660288" behindDoc="0" locked="0" layoutInCell="1" allowOverlap="1">
            <wp:simplePos x="0" y="0"/>
            <wp:positionH relativeFrom="column">
              <wp:posOffset>1270</wp:posOffset>
            </wp:positionH>
            <wp:positionV relativeFrom="paragraph">
              <wp:posOffset>32385</wp:posOffset>
            </wp:positionV>
            <wp:extent cx="1529080" cy="1529080"/>
            <wp:effectExtent l="0" t="0" r="0" b="0"/>
            <wp:wrapSquare wrapText="bothSides"/>
            <wp:docPr id="3" name="Picture 3" descr="The benefits of taking a Manual Handling Train the Trainer course - Eastern  Region Training - Training Providers based in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nefits of taking a Manual Handling Train the Trainer course - Eastern  Region Training - Training Providers based in Suffo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908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034" w:rsidRPr="00962034">
        <w:rPr>
          <w:rFonts w:eastAsiaTheme="minorHAnsi"/>
          <w:lang w:val="en-GB"/>
        </w:rPr>
        <w:t>Risks identified in the assessment must be reduced, so fa</w:t>
      </w:r>
      <w:r w:rsidR="00962034" w:rsidRPr="00962034">
        <w:rPr>
          <w:rFonts w:eastAsiaTheme="minorHAnsi"/>
          <w:lang w:val="en-GB"/>
        </w:rPr>
        <w:t xml:space="preserve">r as is reasonably practicable, </w:t>
      </w:r>
      <w:r w:rsidR="00962034" w:rsidRPr="00962034">
        <w:rPr>
          <w:rFonts w:eastAsiaTheme="minorHAnsi"/>
          <w:lang w:val="en-GB"/>
        </w:rPr>
        <w:t xml:space="preserve">by </w:t>
      </w:r>
      <w:proofErr w:type="gramStart"/>
      <w:r w:rsidR="00962034" w:rsidRPr="00962034">
        <w:rPr>
          <w:rFonts w:eastAsiaTheme="minorHAnsi"/>
          <w:lang w:val="en-GB"/>
        </w:rPr>
        <w:t xml:space="preserve">taking </w:t>
      </w:r>
      <w:r w:rsidRPr="00962034">
        <w:rPr>
          <w:rFonts w:eastAsiaTheme="minorHAnsi"/>
          <w:lang w:val="en-GB"/>
        </w:rPr>
        <w:t xml:space="preserve"> </w:t>
      </w:r>
      <w:r w:rsidR="00962034" w:rsidRPr="00962034">
        <w:rPr>
          <w:rFonts w:eastAsiaTheme="minorHAnsi"/>
          <w:lang w:val="en-GB"/>
        </w:rPr>
        <w:t>‘appropriate’</w:t>
      </w:r>
      <w:proofErr w:type="gramEnd"/>
      <w:r w:rsidR="00962034" w:rsidRPr="00962034">
        <w:rPr>
          <w:rFonts w:eastAsiaTheme="minorHAnsi"/>
          <w:lang w:val="en-GB"/>
        </w:rPr>
        <w:t xml:space="preserve"> steps. The effectiveness of mea</w:t>
      </w:r>
      <w:r w:rsidR="00962034" w:rsidRPr="00962034">
        <w:rPr>
          <w:rFonts w:eastAsiaTheme="minorHAnsi"/>
          <w:lang w:val="en-GB"/>
        </w:rPr>
        <w:t xml:space="preserve">sures taken </w:t>
      </w:r>
      <w:proofErr w:type="gramStart"/>
      <w:r w:rsidR="00962034" w:rsidRPr="00962034">
        <w:rPr>
          <w:rFonts w:eastAsiaTheme="minorHAnsi"/>
          <w:lang w:val="en-GB"/>
        </w:rPr>
        <w:t>should be monitored</w:t>
      </w:r>
      <w:proofErr w:type="gramEnd"/>
      <w:r w:rsidR="00962034" w:rsidRPr="00962034">
        <w:rPr>
          <w:rFonts w:eastAsiaTheme="minorHAnsi"/>
          <w:lang w:val="en-GB"/>
        </w:rPr>
        <w:t xml:space="preserve"> </w:t>
      </w:r>
      <w:r w:rsidR="00962034" w:rsidRPr="00962034">
        <w:rPr>
          <w:rFonts w:eastAsiaTheme="minorHAnsi"/>
          <w:lang w:val="en-GB"/>
        </w:rPr>
        <w:t>and, if they do not have the desired effect, the situation should be reappraised.</w:t>
      </w:r>
    </w:p>
    <w:p w:rsidR="003B30DE" w:rsidRPr="00962034" w:rsidRDefault="003B30DE" w:rsidP="00962034">
      <w:pPr>
        <w:pStyle w:val="paragraph"/>
        <w:spacing w:before="120" w:beforeAutospacing="0" w:after="120" w:afterAutospacing="0"/>
        <w:jc w:val="both"/>
        <w:textAlignment w:val="baseline"/>
        <w:rPr>
          <w:rStyle w:val="normaltextrun"/>
          <w:rFonts w:ascii="Arial" w:hAnsi="Arial" w:cs="Arial"/>
          <w:sz w:val="22"/>
          <w:szCs w:val="22"/>
          <w:lang w:val="en-US"/>
        </w:rPr>
      </w:pPr>
      <w:r w:rsidRPr="00962034">
        <w:rPr>
          <w:rStyle w:val="normaltextrun"/>
          <w:rFonts w:ascii="Arial" w:hAnsi="Arial" w:cs="Arial"/>
          <w:sz w:val="22"/>
          <w:szCs w:val="22"/>
          <w:lang w:val="en-US"/>
        </w:rPr>
        <w:t xml:space="preserve">Where practicable, mechanical lifting devices must be </w:t>
      </w:r>
      <w:proofErr w:type="gramStart"/>
      <w:r w:rsidRPr="00962034">
        <w:rPr>
          <w:rStyle w:val="normaltextrun"/>
          <w:rFonts w:ascii="Arial" w:hAnsi="Arial" w:cs="Arial"/>
          <w:sz w:val="22"/>
          <w:szCs w:val="22"/>
          <w:lang w:val="en-US"/>
        </w:rPr>
        <w:t>employed</w:t>
      </w:r>
      <w:proofErr w:type="gramEnd"/>
      <w:r w:rsidRPr="00962034">
        <w:rPr>
          <w:rStyle w:val="normaltextrun"/>
          <w:rFonts w:ascii="Arial" w:hAnsi="Arial" w:cs="Arial"/>
          <w:sz w:val="22"/>
          <w:szCs w:val="22"/>
          <w:lang w:val="en-US"/>
        </w:rPr>
        <w:t xml:space="preserve"> e.g. sack barrows, forklift trucks, cranes and hoists, etc.</w:t>
      </w:r>
    </w:p>
    <w:p w:rsidR="00962034" w:rsidRPr="00962034" w:rsidRDefault="00962034" w:rsidP="00962034">
      <w:pPr>
        <w:pStyle w:val="paragraph"/>
        <w:spacing w:before="120" w:beforeAutospacing="0" w:after="120" w:afterAutospacing="0"/>
        <w:jc w:val="both"/>
        <w:textAlignment w:val="baseline"/>
        <w:rPr>
          <w:rFonts w:ascii="Arial" w:hAnsi="Arial" w:cs="Arial"/>
          <w:sz w:val="22"/>
          <w:szCs w:val="22"/>
        </w:rPr>
      </w:pPr>
      <w:r w:rsidRPr="00962034">
        <w:rPr>
          <w:rFonts w:ascii="Arial" w:hAnsi="Arial" w:cs="Arial"/>
          <w:sz w:val="22"/>
          <w:szCs w:val="22"/>
        </w:rPr>
        <w:t xml:space="preserve">Site Supervision must ensure that all </w:t>
      </w:r>
      <w:r w:rsidRPr="00962034">
        <w:rPr>
          <w:rFonts w:ascii="Arial" w:hAnsi="Arial" w:cs="Arial"/>
          <w:sz w:val="22"/>
          <w:szCs w:val="22"/>
        </w:rPr>
        <w:t>persons undertaking any manual handling operation ha</w:t>
      </w:r>
      <w:r w:rsidR="002F47A7">
        <w:rPr>
          <w:rFonts w:ascii="Arial" w:hAnsi="Arial" w:cs="Arial"/>
          <w:sz w:val="22"/>
          <w:szCs w:val="22"/>
        </w:rPr>
        <w:t>ve</w:t>
      </w:r>
      <w:r w:rsidRPr="00962034">
        <w:rPr>
          <w:rFonts w:ascii="Arial" w:hAnsi="Arial" w:cs="Arial"/>
          <w:sz w:val="22"/>
          <w:szCs w:val="22"/>
        </w:rPr>
        <w:t xml:space="preserve"> received adequate instruction, information</w:t>
      </w:r>
      <w:r w:rsidR="002F47A7">
        <w:rPr>
          <w:rFonts w:ascii="Arial" w:hAnsi="Arial" w:cs="Arial"/>
          <w:sz w:val="22"/>
          <w:szCs w:val="22"/>
        </w:rPr>
        <w:t>,</w:t>
      </w:r>
      <w:r w:rsidRPr="00962034">
        <w:rPr>
          <w:rFonts w:ascii="Arial" w:hAnsi="Arial" w:cs="Arial"/>
          <w:sz w:val="22"/>
          <w:szCs w:val="22"/>
        </w:rPr>
        <w:t xml:space="preserve"> and training and are physically fit and capable.</w:t>
      </w:r>
    </w:p>
    <w:p w:rsidR="00962034" w:rsidRPr="00962034" w:rsidRDefault="00962034" w:rsidP="00962034">
      <w:pPr>
        <w:spacing w:after="120"/>
        <w:jc w:val="both"/>
      </w:pPr>
      <w:r w:rsidRPr="00962034">
        <w:t>Employees and contractors must comply with the control measures identified within the Risk Assessment, and use any equipment supplied in an appropriate manner. They shall also advise their line manager of any restrictions they have relating to manual handling activities.</w:t>
      </w:r>
    </w:p>
    <w:p w:rsidR="003B30DE" w:rsidRPr="00962034" w:rsidRDefault="003B30DE" w:rsidP="003B30DE">
      <w:pPr>
        <w:spacing w:before="120" w:after="120"/>
        <w:jc w:val="both"/>
        <w:rPr>
          <w:b/>
        </w:rPr>
      </w:pPr>
      <w:r w:rsidRPr="00962034">
        <w:rPr>
          <w:b/>
        </w:rPr>
        <w:t>Before lifting, think TILE</w:t>
      </w:r>
    </w:p>
    <w:p w:rsidR="003B30DE" w:rsidRPr="00962034" w:rsidRDefault="003B30DE" w:rsidP="003B30DE">
      <w:pPr>
        <w:spacing w:before="120" w:after="120"/>
        <w:jc w:val="both"/>
        <w:rPr>
          <w:lang w:val="en-GB"/>
        </w:rPr>
      </w:pPr>
      <w:r w:rsidRPr="00962034">
        <w:rPr>
          <w:b/>
          <w:bCs/>
          <w:lang w:val="en-GB"/>
        </w:rPr>
        <w:t xml:space="preserve">T – Task </w:t>
      </w:r>
      <w:r w:rsidRPr="00962034">
        <w:rPr>
          <w:lang w:val="en-GB"/>
        </w:rPr>
        <w:t xml:space="preserve">- Does the task involve repetitive movements, strenuous movements, long distances, or uneven weight distribution? </w:t>
      </w:r>
    </w:p>
    <w:p w:rsidR="003B30DE" w:rsidRPr="00962034" w:rsidRDefault="003B30DE" w:rsidP="003B30DE">
      <w:pPr>
        <w:spacing w:before="120" w:after="120"/>
        <w:jc w:val="both"/>
        <w:rPr>
          <w:lang w:val="en-GB"/>
        </w:rPr>
      </w:pPr>
      <w:r w:rsidRPr="00962034">
        <w:rPr>
          <w:b/>
          <w:bCs/>
          <w:lang w:val="en-GB"/>
        </w:rPr>
        <w:t xml:space="preserve">I – Individual </w:t>
      </w:r>
      <w:r w:rsidRPr="00962034">
        <w:rPr>
          <w:lang w:val="en-GB"/>
        </w:rPr>
        <w:t xml:space="preserve">- Is one person capable of manual handling </w:t>
      </w:r>
      <w:proofErr w:type="gramStart"/>
      <w:r w:rsidRPr="00962034">
        <w:rPr>
          <w:lang w:val="en-GB"/>
        </w:rPr>
        <w:t>alone?</w:t>
      </w:r>
      <w:proofErr w:type="gramEnd"/>
      <w:r w:rsidRPr="00962034">
        <w:rPr>
          <w:lang w:val="en-GB"/>
        </w:rPr>
        <w:t xml:space="preserve"> Do they need assistance? </w:t>
      </w:r>
    </w:p>
    <w:p w:rsidR="003B30DE" w:rsidRPr="00962034" w:rsidRDefault="003B30DE" w:rsidP="003B30DE">
      <w:pPr>
        <w:spacing w:before="120" w:after="120"/>
        <w:jc w:val="both"/>
        <w:rPr>
          <w:lang w:val="en-GB"/>
        </w:rPr>
      </w:pPr>
      <w:r w:rsidRPr="00962034">
        <w:rPr>
          <w:b/>
          <w:bCs/>
          <w:lang w:val="en-GB"/>
        </w:rPr>
        <w:t xml:space="preserve">L – </w:t>
      </w:r>
      <w:r w:rsidRPr="00962034">
        <w:rPr>
          <w:bCs/>
          <w:lang w:val="en-GB"/>
        </w:rPr>
        <w:t>Load - Is the load particularly heavy, bulky, hard to grasp, or unstable?</w:t>
      </w:r>
      <w:r w:rsidRPr="00962034">
        <w:rPr>
          <w:b/>
          <w:bCs/>
          <w:lang w:val="en-GB"/>
        </w:rPr>
        <w:t xml:space="preserve"> </w:t>
      </w:r>
    </w:p>
    <w:p w:rsidR="00962034" w:rsidRDefault="003B30DE" w:rsidP="003B30DE">
      <w:pPr>
        <w:spacing w:before="120" w:after="120"/>
        <w:jc w:val="both"/>
        <w:rPr>
          <w:lang w:val="en-GB"/>
        </w:rPr>
      </w:pPr>
      <w:r w:rsidRPr="00962034">
        <w:rPr>
          <w:b/>
          <w:bCs/>
          <w:lang w:val="en-GB"/>
        </w:rPr>
        <w:t xml:space="preserve">E – Environment </w:t>
      </w:r>
      <w:r w:rsidRPr="00962034">
        <w:rPr>
          <w:lang w:val="en-GB"/>
        </w:rPr>
        <w:t xml:space="preserve">- Is the floor slippery or uneven? Is there sufficient lighting? Are there any trip hazards? </w:t>
      </w:r>
    </w:p>
    <w:p w:rsidR="00962034" w:rsidRDefault="00962034">
      <w:pPr>
        <w:rPr>
          <w:lang w:val="en-GB"/>
        </w:rPr>
      </w:pPr>
      <w:r>
        <w:rPr>
          <w:lang w:val="en-GB"/>
        </w:rPr>
        <w:br w:type="page"/>
      </w:r>
    </w:p>
    <w:p w:rsidR="00962034" w:rsidRPr="00962034" w:rsidRDefault="00962034" w:rsidP="003B30DE">
      <w:pPr>
        <w:spacing w:before="120" w:after="120"/>
        <w:jc w:val="both"/>
        <w:rPr>
          <w:b/>
          <w:lang w:val="en-GB"/>
        </w:rPr>
      </w:pPr>
      <w:r w:rsidRPr="00962034">
        <w:rPr>
          <w:b/>
          <w:lang w:val="en-GB"/>
        </w:rPr>
        <w:lastRenderedPageBreak/>
        <w:t>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7063"/>
      </w:tblGrid>
      <w:tr w:rsidR="003B30DE" w:rsidRPr="00962034" w:rsidTr="00962034">
        <w:trPr>
          <w:trHeight w:val="1417"/>
        </w:trPr>
        <w:tc>
          <w:tcPr>
            <w:tcW w:w="1330"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B30DE" w:rsidRPr="00962034" w:rsidRDefault="003B30DE" w:rsidP="003B30DE">
            <w:pPr>
              <w:spacing w:after="120"/>
              <w:jc w:val="both"/>
              <w:rPr>
                <w:b/>
              </w:rPr>
            </w:pPr>
            <w:r w:rsidRPr="00962034">
              <w:rPr>
                <w:b/>
              </w:rPr>
              <w:t>The Task</w:t>
            </w:r>
          </w:p>
        </w:tc>
        <w:tc>
          <w:tcPr>
            <w:tcW w:w="3670" w:type="pct"/>
            <w:tcBorders>
              <w:top w:val="single" w:sz="4" w:space="0" w:color="auto"/>
              <w:left w:val="single" w:sz="4" w:space="0" w:color="auto"/>
              <w:bottom w:val="single" w:sz="4" w:space="0" w:color="auto"/>
              <w:right w:val="single" w:sz="4" w:space="0" w:color="auto"/>
            </w:tcBorders>
            <w:vAlign w:val="center"/>
            <w:hideMark/>
          </w:tcPr>
          <w:p w:rsidR="003B30DE" w:rsidRPr="00962034" w:rsidRDefault="003B30DE" w:rsidP="003B30DE">
            <w:pPr>
              <w:spacing w:after="120"/>
              <w:jc w:val="both"/>
              <w:rPr>
                <w:b/>
              </w:rPr>
            </w:pPr>
            <w:r w:rsidRPr="00962034">
              <w:t xml:space="preserve">Consider, before lifting, where the load is to be shifted to and from, take into account the distance to travel, the weight of the load, </w:t>
            </w:r>
            <w:proofErr w:type="gramStart"/>
            <w:r w:rsidRPr="00962034">
              <w:t>the</w:t>
            </w:r>
            <w:proofErr w:type="gramEnd"/>
            <w:r w:rsidRPr="00962034">
              <w:t xml:space="preserve"> conditions at the end where the load is to be taken to. Consideration </w:t>
            </w:r>
            <w:proofErr w:type="gramStart"/>
            <w:r w:rsidRPr="00962034">
              <w:t>should be given</w:t>
            </w:r>
            <w:proofErr w:type="gramEnd"/>
            <w:r w:rsidRPr="00962034">
              <w:t xml:space="preserve"> in planning the movement of loads to prevent repetition. Persons involved in manual handling tasks shall receive instruction and training in manual handling techniques as part of their induction process and from ongoing toolbox talks.</w:t>
            </w:r>
          </w:p>
        </w:tc>
      </w:tr>
      <w:tr w:rsidR="003B30DE" w:rsidRPr="00962034" w:rsidTr="00962034">
        <w:trPr>
          <w:trHeight w:val="1417"/>
        </w:trPr>
        <w:tc>
          <w:tcPr>
            <w:tcW w:w="1330"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B30DE" w:rsidRPr="00962034" w:rsidRDefault="003B30DE" w:rsidP="003B30DE">
            <w:pPr>
              <w:spacing w:after="120"/>
              <w:jc w:val="both"/>
              <w:rPr>
                <w:b/>
              </w:rPr>
            </w:pPr>
            <w:r w:rsidRPr="00962034">
              <w:rPr>
                <w:b/>
              </w:rPr>
              <w:t>Individual Capability</w:t>
            </w:r>
          </w:p>
        </w:tc>
        <w:tc>
          <w:tcPr>
            <w:tcW w:w="3670" w:type="pct"/>
            <w:tcBorders>
              <w:top w:val="single" w:sz="4" w:space="0" w:color="auto"/>
              <w:left w:val="single" w:sz="4" w:space="0" w:color="auto"/>
              <w:bottom w:val="single" w:sz="4" w:space="0" w:color="auto"/>
              <w:right w:val="single" w:sz="4" w:space="0" w:color="auto"/>
            </w:tcBorders>
            <w:vAlign w:val="center"/>
            <w:hideMark/>
          </w:tcPr>
          <w:p w:rsidR="003B30DE" w:rsidRPr="00962034" w:rsidRDefault="003B30DE" w:rsidP="003B30DE">
            <w:pPr>
              <w:spacing w:after="120"/>
              <w:jc w:val="both"/>
            </w:pPr>
            <w:r w:rsidRPr="00962034">
              <w:t xml:space="preserve">Any assessments by the individual must include his or her capability to move the load. Each person will have a different threshold. </w:t>
            </w:r>
          </w:p>
          <w:p w:rsidR="003B30DE" w:rsidRPr="00962034" w:rsidRDefault="003B30DE" w:rsidP="003B30DE">
            <w:pPr>
              <w:spacing w:after="120"/>
              <w:jc w:val="both"/>
              <w:rPr>
                <w:b/>
              </w:rPr>
            </w:pPr>
            <w:r w:rsidRPr="00962034">
              <w:t xml:space="preserve">Normally, loads are not marked to give their weight, but by surveying the load, or by trying to move it by rocking it back and forth, without lifting the object, can determine </w:t>
            </w:r>
            <w:proofErr w:type="gramStart"/>
            <w:r w:rsidRPr="00962034">
              <w:t>whether or not</w:t>
            </w:r>
            <w:proofErr w:type="gramEnd"/>
            <w:r w:rsidRPr="00962034">
              <w:t xml:space="preserve"> it’s within the individual’s capability. Assistance must be requested if the </w:t>
            </w:r>
            <w:proofErr w:type="gramStart"/>
            <w:r w:rsidRPr="00962034">
              <w:t>load cannot be carried by the individual</w:t>
            </w:r>
            <w:proofErr w:type="gramEnd"/>
            <w:r w:rsidRPr="00962034">
              <w:t>.</w:t>
            </w:r>
          </w:p>
        </w:tc>
      </w:tr>
      <w:tr w:rsidR="003B30DE" w:rsidRPr="00962034" w:rsidTr="00962034">
        <w:trPr>
          <w:trHeight w:val="1417"/>
        </w:trPr>
        <w:tc>
          <w:tcPr>
            <w:tcW w:w="1330"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B30DE" w:rsidRPr="00962034" w:rsidRDefault="003B30DE" w:rsidP="003B30DE">
            <w:pPr>
              <w:spacing w:after="120"/>
              <w:jc w:val="both"/>
              <w:rPr>
                <w:b/>
              </w:rPr>
            </w:pPr>
            <w:r w:rsidRPr="00962034">
              <w:rPr>
                <w:b/>
              </w:rPr>
              <w:t>The Load</w:t>
            </w:r>
          </w:p>
        </w:tc>
        <w:tc>
          <w:tcPr>
            <w:tcW w:w="3670" w:type="pct"/>
            <w:tcBorders>
              <w:top w:val="single" w:sz="4" w:space="0" w:color="auto"/>
              <w:left w:val="single" w:sz="4" w:space="0" w:color="auto"/>
              <w:bottom w:val="single" w:sz="4" w:space="0" w:color="auto"/>
              <w:right w:val="single" w:sz="4" w:space="0" w:color="auto"/>
            </w:tcBorders>
            <w:vAlign w:val="center"/>
            <w:hideMark/>
          </w:tcPr>
          <w:p w:rsidR="003B30DE" w:rsidRPr="00962034" w:rsidRDefault="003B30DE" w:rsidP="003B30DE">
            <w:pPr>
              <w:spacing w:after="120"/>
              <w:jc w:val="both"/>
              <w:rPr>
                <w:b/>
              </w:rPr>
            </w:pPr>
            <w:r w:rsidRPr="00962034">
              <w:t>Determine whether moving the load is within your capability, to lift or move on your own. It could be too heavy, bulky, difficult to grasp</w:t>
            </w:r>
            <w:r w:rsidR="00962034" w:rsidRPr="00962034">
              <w:t>,</w:t>
            </w:r>
            <w:r w:rsidRPr="00962034">
              <w:t xml:space="preserve"> or likely to shift whilst in motion (water carrier). Whilst assessing the load, consideration should be given to breaking it down into </w:t>
            </w:r>
            <w:proofErr w:type="gramStart"/>
            <w:r w:rsidRPr="00962034">
              <w:t>more manageable parts</w:t>
            </w:r>
            <w:proofErr w:type="gramEnd"/>
            <w:r w:rsidRPr="00962034">
              <w:t xml:space="preserve"> in order to reduce the risk of injury.</w:t>
            </w:r>
          </w:p>
        </w:tc>
      </w:tr>
      <w:tr w:rsidR="003B30DE" w:rsidRPr="00962034" w:rsidTr="00962034">
        <w:trPr>
          <w:trHeight w:val="1417"/>
        </w:trPr>
        <w:tc>
          <w:tcPr>
            <w:tcW w:w="1330"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B30DE" w:rsidRPr="00962034" w:rsidRDefault="003B30DE" w:rsidP="003B30DE">
            <w:pPr>
              <w:spacing w:after="120"/>
              <w:jc w:val="both"/>
              <w:rPr>
                <w:b/>
              </w:rPr>
            </w:pPr>
            <w:r w:rsidRPr="00962034">
              <w:rPr>
                <w:b/>
              </w:rPr>
              <w:t>The Environment</w:t>
            </w:r>
          </w:p>
        </w:tc>
        <w:tc>
          <w:tcPr>
            <w:tcW w:w="3670" w:type="pct"/>
            <w:tcBorders>
              <w:top w:val="single" w:sz="4" w:space="0" w:color="auto"/>
              <w:left w:val="single" w:sz="4" w:space="0" w:color="auto"/>
              <w:bottom w:val="single" w:sz="4" w:space="0" w:color="auto"/>
              <w:right w:val="single" w:sz="4" w:space="0" w:color="auto"/>
            </w:tcBorders>
            <w:vAlign w:val="center"/>
            <w:hideMark/>
          </w:tcPr>
          <w:p w:rsidR="003B30DE" w:rsidRPr="00962034" w:rsidRDefault="003B30DE" w:rsidP="003B30DE">
            <w:pPr>
              <w:spacing w:after="120"/>
              <w:jc w:val="both"/>
              <w:rPr>
                <w:b/>
              </w:rPr>
            </w:pPr>
            <w:r w:rsidRPr="00962034">
              <w:t xml:space="preserve">The environment in which the load has to </w:t>
            </w:r>
            <w:proofErr w:type="gramStart"/>
            <w:r w:rsidRPr="00962034">
              <w:t>be moved</w:t>
            </w:r>
            <w:proofErr w:type="gramEnd"/>
            <w:r w:rsidRPr="00962034">
              <w:t xml:space="preserve"> can have a large impact on the capability to move the load safely.  Uneven or slippery ground conditions, space constraints, and adverse weather conditions can affect the capab</w:t>
            </w:r>
            <w:r w:rsidRPr="00962034">
              <w:t xml:space="preserve">ility to move the load safely. </w:t>
            </w:r>
            <w:r w:rsidRPr="00962034">
              <w:t xml:space="preserve">On Customer sites, consideration </w:t>
            </w:r>
            <w:proofErr w:type="gramStart"/>
            <w:r w:rsidRPr="00962034">
              <w:t>shall also be given</w:t>
            </w:r>
            <w:proofErr w:type="gramEnd"/>
            <w:r w:rsidRPr="00962034">
              <w:t xml:space="preserve"> to other operations, which are occurring within the area required to move the load. </w:t>
            </w:r>
          </w:p>
        </w:tc>
      </w:tr>
      <w:tr w:rsidR="003B30DE" w:rsidRPr="00962034" w:rsidTr="00962034">
        <w:trPr>
          <w:trHeight w:val="1417"/>
        </w:trPr>
        <w:tc>
          <w:tcPr>
            <w:tcW w:w="1330"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3B30DE" w:rsidRPr="00962034" w:rsidRDefault="003B30DE" w:rsidP="003B30DE">
            <w:pPr>
              <w:spacing w:after="120"/>
              <w:jc w:val="both"/>
              <w:rPr>
                <w:b/>
              </w:rPr>
            </w:pPr>
            <w:r w:rsidRPr="00962034">
              <w:rPr>
                <w:b/>
              </w:rPr>
              <w:t>Lifting Techniques</w:t>
            </w:r>
          </w:p>
        </w:tc>
        <w:tc>
          <w:tcPr>
            <w:tcW w:w="3670" w:type="pct"/>
            <w:tcBorders>
              <w:top w:val="single" w:sz="4" w:space="0" w:color="auto"/>
              <w:left w:val="single" w:sz="4" w:space="0" w:color="auto"/>
              <w:bottom w:val="single" w:sz="4" w:space="0" w:color="auto"/>
              <w:right w:val="single" w:sz="4" w:space="0" w:color="auto"/>
            </w:tcBorders>
            <w:vAlign w:val="center"/>
            <w:hideMark/>
          </w:tcPr>
          <w:p w:rsidR="003B30DE" w:rsidRPr="00962034" w:rsidRDefault="003B30DE" w:rsidP="003B30DE">
            <w:pPr>
              <w:spacing w:after="160"/>
              <w:contextualSpacing/>
              <w:jc w:val="both"/>
            </w:pPr>
            <w:r w:rsidRPr="00962034">
              <w:t>Get close to the load,</w:t>
            </w:r>
          </w:p>
          <w:p w:rsidR="003B30DE" w:rsidRPr="00962034" w:rsidRDefault="003B30DE" w:rsidP="003B30DE">
            <w:pPr>
              <w:spacing w:after="160"/>
              <w:contextualSpacing/>
              <w:jc w:val="both"/>
            </w:pPr>
            <w:r w:rsidRPr="00962034">
              <w:t>Obtain a firm grip- using gloves if necessary,</w:t>
            </w:r>
          </w:p>
          <w:p w:rsidR="003B30DE" w:rsidRPr="00962034" w:rsidRDefault="003B30DE" w:rsidP="003B30DE">
            <w:pPr>
              <w:spacing w:after="160"/>
              <w:contextualSpacing/>
              <w:jc w:val="both"/>
            </w:pPr>
            <w:r w:rsidRPr="00962034">
              <w:t>Bend the knees to get down to the load,</w:t>
            </w:r>
          </w:p>
          <w:p w:rsidR="003B30DE" w:rsidRPr="00962034" w:rsidRDefault="003B30DE" w:rsidP="003B30DE">
            <w:pPr>
              <w:spacing w:after="160"/>
              <w:contextualSpacing/>
              <w:jc w:val="both"/>
            </w:pPr>
            <w:r w:rsidRPr="00962034">
              <w:t>Lift the load in one movement- avoid jerking the load,</w:t>
            </w:r>
          </w:p>
          <w:p w:rsidR="003B30DE" w:rsidRPr="00962034" w:rsidRDefault="003B30DE" w:rsidP="003B30DE">
            <w:pPr>
              <w:spacing w:after="160"/>
              <w:contextualSpacing/>
              <w:jc w:val="both"/>
            </w:pPr>
            <w:r w:rsidRPr="00962034">
              <w:t>Do not twist whilst lifting or carrying the load,</w:t>
            </w:r>
          </w:p>
          <w:p w:rsidR="003B30DE" w:rsidRPr="00962034" w:rsidRDefault="003B30DE" w:rsidP="003B30DE">
            <w:pPr>
              <w:spacing w:after="160"/>
              <w:contextualSpacing/>
              <w:jc w:val="both"/>
            </w:pPr>
            <w:r w:rsidRPr="00962034">
              <w:t>Keep the load close to your body; do not extend your arms,</w:t>
            </w:r>
          </w:p>
          <w:p w:rsidR="003B30DE" w:rsidRPr="00962034" w:rsidRDefault="003B30DE" w:rsidP="003B30DE">
            <w:pPr>
              <w:spacing w:after="160"/>
              <w:contextualSpacing/>
              <w:jc w:val="both"/>
            </w:pPr>
            <w:r w:rsidRPr="00962034">
              <w:t>Take care when releasing the load- avoid dropping it.</w:t>
            </w:r>
          </w:p>
        </w:tc>
      </w:tr>
    </w:tbl>
    <w:p w:rsidR="003B30DE" w:rsidRPr="00962034" w:rsidRDefault="003B30DE" w:rsidP="003B30DE">
      <w:pPr>
        <w:spacing w:before="120" w:after="120"/>
        <w:jc w:val="both"/>
      </w:pPr>
      <w:bookmarkStart w:id="0" w:name="_GoBack"/>
      <w:bookmarkEnd w:id="0"/>
    </w:p>
    <w:sectPr w:rsidR="003B30DE" w:rsidRPr="00962034" w:rsidSect="00423666">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2002" w:right="1134" w:bottom="278"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01" w:rsidRDefault="00360001" w:rsidP="00FE3013">
      <w:r>
        <w:separator/>
      </w:r>
    </w:p>
  </w:endnote>
  <w:endnote w:type="continuationSeparator" w:id="0">
    <w:p w:rsidR="00360001" w:rsidRDefault="00360001" w:rsidP="00FE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E" w:rsidRDefault="003B3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57" w:type="dxa"/>
      <w:tblInd w:w="-1281" w:type="dxa"/>
      <w:tblLook w:val="04A0" w:firstRow="1" w:lastRow="0" w:firstColumn="1" w:lastColumn="0" w:noHBand="0" w:noVBand="1"/>
    </w:tblPr>
    <w:tblGrid>
      <w:gridCol w:w="2392"/>
      <w:gridCol w:w="1583"/>
      <w:gridCol w:w="850"/>
      <w:gridCol w:w="1134"/>
      <w:gridCol w:w="992"/>
      <w:gridCol w:w="851"/>
      <w:gridCol w:w="1154"/>
      <w:gridCol w:w="2101"/>
    </w:tblGrid>
    <w:tr w:rsidR="0062477D" w:rsidTr="00020981">
      <w:tc>
        <w:tcPr>
          <w:tcW w:w="2392" w:type="dxa"/>
          <w:vMerge w:val="restart"/>
          <w:tcBorders>
            <w:top w:val="nil"/>
            <w:left w:val="nil"/>
            <w:right w:val="single" w:sz="4" w:space="0" w:color="777779"/>
          </w:tcBorders>
        </w:tcPr>
        <w:p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Document Name:</w:t>
          </w:r>
        </w:p>
      </w:tc>
      <w:tc>
        <w:tcPr>
          <w:tcW w:w="850"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Ref No:</w:t>
          </w:r>
        </w:p>
      </w:tc>
      <w:tc>
        <w:tcPr>
          <w:tcW w:w="1134"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Owner:</w:t>
          </w:r>
        </w:p>
      </w:tc>
      <w:tc>
        <w:tcPr>
          <w:tcW w:w="992"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Issue Date:</w:t>
          </w:r>
        </w:p>
      </w:tc>
      <w:tc>
        <w:tcPr>
          <w:tcW w:w="851"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Revision:</w:t>
          </w:r>
        </w:p>
      </w:tc>
      <w:tc>
        <w:tcPr>
          <w:tcW w:w="1154" w:type="dxa"/>
          <w:tcBorders>
            <w:top w:val="single" w:sz="4" w:space="0" w:color="777779"/>
            <w:left w:val="single" w:sz="4" w:space="0" w:color="777779"/>
            <w:bottom w:val="single" w:sz="4" w:space="0" w:color="777779"/>
            <w:right w:val="single" w:sz="4" w:space="0" w:color="777779"/>
          </w:tcBorders>
          <w:vAlign w:val="center"/>
        </w:tcPr>
        <w:p w:rsidR="0062477D" w:rsidRPr="00B634C4" w:rsidRDefault="0062477D" w:rsidP="00E260C4">
          <w:pPr>
            <w:pStyle w:val="Footer"/>
            <w:jc w:val="center"/>
            <w:rPr>
              <w:b/>
              <w:color w:val="777779"/>
              <w:sz w:val="14"/>
              <w:szCs w:val="14"/>
            </w:rPr>
          </w:pPr>
          <w:r w:rsidRPr="00B634C4">
            <w:rPr>
              <w:b/>
              <w:color w:val="777779"/>
              <w:sz w:val="14"/>
              <w:szCs w:val="14"/>
            </w:rPr>
            <w:t>Page:</w:t>
          </w:r>
        </w:p>
      </w:tc>
      <w:tc>
        <w:tcPr>
          <w:tcW w:w="2101" w:type="dxa"/>
          <w:vMerge w:val="restart"/>
          <w:tcBorders>
            <w:top w:val="nil"/>
            <w:left w:val="single" w:sz="4" w:space="0" w:color="777779"/>
            <w:right w:val="nil"/>
          </w:tcBorders>
        </w:tcPr>
        <w:p w:rsidR="0062477D" w:rsidRDefault="0062477D">
          <w:pPr>
            <w:pStyle w:val="Footer"/>
          </w:pPr>
        </w:p>
      </w:tc>
    </w:tr>
    <w:tr w:rsidR="0062477D" w:rsidTr="00020981">
      <w:trPr>
        <w:trHeight w:val="386"/>
      </w:trPr>
      <w:tc>
        <w:tcPr>
          <w:tcW w:w="2392" w:type="dxa"/>
          <w:vMerge/>
          <w:tcBorders>
            <w:left w:val="nil"/>
            <w:bottom w:val="nil"/>
            <w:right w:val="single" w:sz="4" w:space="0" w:color="777779"/>
          </w:tcBorders>
        </w:tcPr>
        <w:p w:rsidR="0062477D" w:rsidRDefault="0062477D">
          <w:pPr>
            <w:pStyle w:val="Footer"/>
          </w:pPr>
        </w:p>
      </w:tc>
      <w:tc>
        <w:tcPr>
          <w:tcW w:w="1583" w:type="dxa"/>
          <w:tcBorders>
            <w:top w:val="single" w:sz="4" w:space="0" w:color="777779"/>
            <w:left w:val="single" w:sz="4" w:space="0" w:color="777779"/>
            <w:bottom w:val="single" w:sz="4" w:space="0" w:color="777779"/>
            <w:right w:val="single" w:sz="4" w:space="0" w:color="777779"/>
          </w:tcBorders>
          <w:vAlign w:val="center"/>
        </w:tcPr>
        <w:p w:rsidR="0062477D" w:rsidRPr="0049774F" w:rsidRDefault="002F47A7" w:rsidP="0004108E">
          <w:pPr>
            <w:pStyle w:val="Footer"/>
            <w:rPr>
              <w:color w:val="777779"/>
              <w:sz w:val="14"/>
              <w:szCs w:val="14"/>
            </w:rPr>
          </w:pPr>
          <w:r>
            <w:rPr>
              <w:sz w:val="14"/>
              <w:szCs w:val="48"/>
            </w:rPr>
            <w:t xml:space="preserve">Manual Handling </w:t>
          </w:r>
        </w:p>
      </w:tc>
      <w:tc>
        <w:tcPr>
          <w:tcW w:w="850"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2F47A7" w:rsidP="00861D7E">
          <w:pPr>
            <w:pStyle w:val="Footer"/>
            <w:rPr>
              <w:color w:val="777779"/>
              <w:sz w:val="14"/>
              <w:szCs w:val="14"/>
            </w:rPr>
          </w:pPr>
          <w:r>
            <w:rPr>
              <w:color w:val="777779"/>
              <w:sz w:val="14"/>
              <w:szCs w:val="14"/>
            </w:rPr>
            <w:t>TBT 043</w:t>
          </w:r>
        </w:p>
      </w:tc>
      <w:tc>
        <w:tcPr>
          <w:tcW w:w="1134"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020981" w:rsidP="0004108E">
          <w:pPr>
            <w:pStyle w:val="Footer"/>
            <w:rPr>
              <w:color w:val="777779"/>
              <w:sz w:val="14"/>
              <w:szCs w:val="14"/>
            </w:rPr>
          </w:pPr>
          <w:r>
            <w:rPr>
              <w:color w:val="777779"/>
              <w:sz w:val="14"/>
              <w:szCs w:val="14"/>
            </w:rPr>
            <w:t>SHEQ</w:t>
          </w:r>
        </w:p>
      </w:tc>
      <w:tc>
        <w:tcPr>
          <w:tcW w:w="992"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2F47A7" w:rsidP="0004108E">
          <w:pPr>
            <w:pStyle w:val="Footer"/>
            <w:rPr>
              <w:color w:val="777779"/>
              <w:sz w:val="14"/>
              <w:szCs w:val="14"/>
            </w:rPr>
          </w:pPr>
          <w:r>
            <w:rPr>
              <w:color w:val="777779"/>
              <w:sz w:val="14"/>
              <w:szCs w:val="14"/>
            </w:rPr>
            <w:t xml:space="preserve">Oct </w:t>
          </w:r>
          <w:r w:rsidR="0049774F">
            <w:rPr>
              <w:color w:val="777779"/>
              <w:sz w:val="14"/>
              <w:szCs w:val="14"/>
            </w:rPr>
            <w:t>2021</w:t>
          </w:r>
        </w:p>
      </w:tc>
      <w:tc>
        <w:tcPr>
          <w:tcW w:w="851"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D95E41" w:rsidP="0004108E">
          <w:pPr>
            <w:pStyle w:val="Footer"/>
            <w:rPr>
              <w:color w:val="777779"/>
              <w:sz w:val="14"/>
              <w:szCs w:val="14"/>
            </w:rPr>
          </w:pPr>
          <w:r>
            <w:rPr>
              <w:color w:val="777779"/>
              <w:sz w:val="14"/>
              <w:szCs w:val="14"/>
            </w:rPr>
            <w:t>1</w:t>
          </w:r>
        </w:p>
      </w:tc>
      <w:tc>
        <w:tcPr>
          <w:tcW w:w="1154" w:type="dxa"/>
          <w:tcBorders>
            <w:top w:val="single" w:sz="4" w:space="0" w:color="777779"/>
            <w:left w:val="single" w:sz="4" w:space="0" w:color="777779"/>
            <w:bottom w:val="single" w:sz="4" w:space="0" w:color="777779"/>
            <w:right w:val="single" w:sz="4" w:space="0" w:color="777779"/>
          </w:tcBorders>
          <w:vAlign w:val="center"/>
        </w:tcPr>
        <w:p w:rsidR="0062477D" w:rsidRPr="0004108E" w:rsidRDefault="00020981" w:rsidP="0004108E">
          <w:pPr>
            <w:pStyle w:val="Footer"/>
            <w:rPr>
              <w:color w:val="777779"/>
              <w:sz w:val="14"/>
              <w:szCs w:val="14"/>
            </w:rPr>
          </w:pPr>
          <w:r w:rsidRPr="00020981">
            <w:rPr>
              <w:color w:val="777779"/>
              <w:sz w:val="14"/>
              <w:szCs w:val="14"/>
            </w:rPr>
            <w:t xml:space="preserve">Page </w:t>
          </w:r>
          <w:r w:rsidRPr="00020981">
            <w:rPr>
              <w:b/>
              <w:bCs/>
              <w:color w:val="777779"/>
              <w:sz w:val="14"/>
              <w:szCs w:val="14"/>
            </w:rPr>
            <w:fldChar w:fldCharType="begin"/>
          </w:r>
          <w:r w:rsidRPr="00020981">
            <w:rPr>
              <w:b/>
              <w:bCs/>
              <w:color w:val="777779"/>
              <w:sz w:val="14"/>
              <w:szCs w:val="14"/>
            </w:rPr>
            <w:instrText xml:space="preserve"> PAGE  \* Arabic  \* MERGEFORMAT </w:instrText>
          </w:r>
          <w:r w:rsidRPr="00020981">
            <w:rPr>
              <w:b/>
              <w:bCs/>
              <w:color w:val="777779"/>
              <w:sz w:val="14"/>
              <w:szCs w:val="14"/>
            </w:rPr>
            <w:fldChar w:fldCharType="separate"/>
          </w:r>
          <w:r w:rsidR="002F47A7">
            <w:rPr>
              <w:b/>
              <w:bCs/>
              <w:noProof/>
              <w:color w:val="777779"/>
              <w:sz w:val="14"/>
              <w:szCs w:val="14"/>
            </w:rPr>
            <w:t>3</w:t>
          </w:r>
          <w:r w:rsidRPr="00020981">
            <w:rPr>
              <w:b/>
              <w:bCs/>
              <w:color w:val="777779"/>
              <w:sz w:val="14"/>
              <w:szCs w:val="14"/>
            </w:rPr>
            <w:fldChar w:fldCharType="end"/>
          </w:r>
          <w:r w:rsidRPr="00020981">
            <w:rPr>
              <w:color w:val="777779"/>
              <w:sz w:val="14"/>
              <w:szCs w:val="14"/>
            </w:rPr>
            <w:t xml:space="preserve"> of </w:t>
          </w:r>
          <w:r w:rsidRPr="00020981">
            <w:rPr>
              <w:b/>
              <w:bCs/>
              <w:color w:val="777779"/>
              <w:sz w:val="14"/>
              <w:szCs w:val="14"/>
            </w:rPr>
            <w:fldChar w:fldCharType="begin"/>
          </w:r>
          <w:r w:rsidRPr="00020981">
            <w:rPr>
              <w:b/>
              <w:bCs/>
              <w:color w:val="777779"/>
              <w:sz w:val="14"/>
              <w:szCs w:val="14"/>
            </w:rPr>
            <w:instrText xml:space="preserve"> NUMPAGES  \* Arabic  \* MERGEFORMAT </w:instrText>
          </w:r>
          <w:r w:rsidRPr="00020981">
            <w:rPr>
              <w:b/>
              <w:bCs/>
              <w:color w:val="777779"/>
              <w:sz w:val="14"/>
              <w:szCs w:val="14"/>
            </w:rPr>
            <w:fldChar w:fldCharType="separate"/>
          </w:r>
          <w:r w:rsidR="002F47A7">
            <w:rPr>
              <w:b/>
              <w:bCs/>
              <w:noProof/>
              <w:color w:val="777779"/>
              <w:sz w:val="14"/>
              <w:szCs w:val="14"/>
            </w:rPr>
            <w:t>3</w:t>
          </w:r>
          <w:r w:rsidRPr="00020981">
            <w:rPr>
              <w:b/>
              <w:bCs/>
              <w:color w:val="777779"/>
              <w:sz w:val="14"/>
              <w:szCs w:val="14"/>
            </w:rPr>
            <w:fldChar w:fldCharType="end"/>
          </w:r>
        </w:p>
      </w:tc>
      <w:tc>
        <w:tcPr>
          <w:tcW w:w="2101" w:type="dxa"/>
          <w:vMerge/>
          <w:tcBorders>
            <w:left w:val="single" w:sz="4" w:space="0" w:color="777779"/>
            <w:bottom w:val="nil"/>
            <w:right w:val="nil"/>
          </w:tcBorders>
        </w:tcPr>
        <w:p w:rsidR="0062477D" w:rsidRDefault="0062477D">
          <w:pPr>
            <w:pStyle w:val="Footer"/>
          </w:pPr>
        </w:p>
      </w:tc>
    </w:tr>
  </w:tbl>
  <w:p w:rsidR="00B23ACA" w:rsidRDefault="00B23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E" w:rsidRDefault="003B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01" w:rsidRDefault="00360001" w:rsidP="00FE3013">
      <w:r>
        <w:separator/>
      </w:r>
    </w:p>
  </w:footnote>
  <w:footnote w:type="continuationSeparator" w:id="0">
    <w:p w:rsidR="00360001" w:rsidRDefault="00360001" w:rsidP="00FE3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E" w:rsidRDefault="003B3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E46" w:rsidRDefault="00532E46" w:rsidP="00CC583A">
    <w:pPr>
      <w:pStyle w:val="Header"/>
      <w:tabs>
        <w:tab w:val="clear" w:pos="4513"/>
        <w:tab w:val="clear" w:pos="9026"/>
        <w:tab w:val="left" w:pos="7042"/>
      </w:tabs>
    </w:pPr>
  </w:p>
  <w:p w:rsidR="00532E46" w:rsidRDefault="00532E46" w:rsidP="00CC583A">
    <w:pPr>
      <w:pStyle w:val="Header"/>
      <w:tabs>
        <w:tab w:val="clear" w:pos="4513"/>
        <w:tab w:val="clear" w:pos="9026"/>
        <w:tab w:val="left" w:pos="7042"/>
      </w:tabs>
    </w:pPr>
  </w:p>
  <w:p w:rsidR="00532E46" w:rsidRDefault="00532E46" w:rsidP="00CC583A">
    <w:pPr>
      <w:pStyle w:val="Header"/>
      <w:tabs>
        <w:tab w:val="clear" w:pos="4513"/>
        <w:tab w:val="clear" w:pos="9026"/>
        <w:tab w:val="left" w:pos="7042"/>
      </w:tabs>
    </w:pPr>
  </w:p>
  <w:p w:rsidR="00861D7E" w:rsidRDefault="00155731" w:rsidP="00861D7E">
    <w:pPr>
      <w:pStyle w:val="Header"/>
      <w:tabs>
        <w:tab w:val="clear" w:pos="4513"/>
        <w:tab w:val="clear" w:pos="9026"/>
        <w:tab w:val="left" w:pos="7042"/>
      </w:tabs>
      <w:rPr>
        <w:b/>
        <w:sz w:val="36"/>
        <w:szCs w:val="36"/>
      </w:rPr>
    </w:pPr>
    <w:r w:rsidRPr="00EC7024">
      <w:rPr>
        <w:rFonts w:ascii="Times New Roman"/>
        <w:b/>
        <w:noProof/>
        <w:sz w:val="36"/>
        <w:szCs w:val="36"/>
        <w:lang w:val="en-GB" w:eastAsia="en-GB"/>
      </w:rPr>
      <w:drawing>
        <wp:anchor distT="0" distB="0" distL="114300" distR="114300" simplePos="0" relativeHeight="251659264" behindDoc="1" locked="1" layoutInCell="0" allowOverlap="1" wp14:anchorId="0FAE7DE7" wp14:editId="5CD97B56">
          <wp:simplePos x="0" y="0"/>
          <wp:positionH relativeFrom="column">
            <wp:align>center</wp:align>
          </wp:positionH>
          <wp:positionV relativeFrom="page">
            <wp:posOffset>-14605</wp:posOffset>
          </wp:positionV>
          <wp:extent cx="7549200" cy="10677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48 Breheny SHEQ General Doc Portrait_Header-Footer.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677525"/>
                  </a:xfrm>
                  <a:prstGeom prst="rect">
                    <a:avLst/>
                  </a:prstGeom>
                </pic:spPr>
              </pic:pic>
            </a:graphicData>
          </a:graphic>
          <wp14:sizeRelH relativeFrom="page">
            <wp14:pctWidth>0</wp14:pctWidth>
          </wp14:sizeRelH>
          <wp14:sizeRelV relativeFrom="page">
            <wp14:pctHeight>0</wp14:pctHeight>
          </wp14:sizeRelV>
        </wp:anchor>
      </w:drawing>
    </w:r>
    <w:r w:rsidR="00861D7E">
      <w:rPr>
        <w:b/>
        <w:sz w:val="36"/>
        <w:szCs w:val="36"/>
      </w:rPr>
      <w:t>TOOLBOX TALK</w:t>
    </w:r>
  </w:p>
  <w:p w:rsidR="0049774F" w:rsidRDefault="00194088" w:rsidP="0049774F">
    <w:pPr>
      <w:rPr>
        <w:sz w:val="48"/>
        <w:szCs w:val="48"/>
      </w:rPr>
    </w:pPr>
    <w:r>
      <w:rPr>
        <w:b/>
        <w:sz w:val="36"/>
        <w:szCs w:val="36"/>
      </w:rPr>
      <w:t xml:space="preserve">TBT </w:t>
    </w:r>
    <w:r w:rsidR="003B30DE">
      <w:rPr>
        <w:b/>
        <w:sz w:val="36"/>
        <w:szCs w:val="36"/>
      </w:rPr>
      <w:t>043 MANUAL HANDLING</w:t>
    </w:r>
  </w:p>
  <w:p w:rsidR="00425492" w:rsidRPr="00EC7024" w:rsidRDefault="00425492" w:rsidP="00020981">
    <w:pPr>
      <w:pStyle w:val="Header"/>
      <w:tabs>
        <w:tab w:val="clear" w:pos="4513"/>
        <w:tab w:val="clear" w:pos="9026"/>
        <w:tab w:val="left" w:pos="7042"/>
      </w:tabs>
      <w:rPr>
        <w:b/>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0DE" w:rsidRDefault="003B3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366A87"/>
    <w:multiLevelType w:val="hybridMultilevel"/>
    <w:tmpl w:val="8C0E7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77B25"/>
    <w:multiLevelType w:val="hybridMultilevel"/>
    <w:tmpl w:val="0F360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FA2B28"/>
    <w:multiLevelType w:val="hybridMultilevel"/>
    <w:tmpl w:val="9426F78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B743DF"/>
    <w:multiLevelType w:val="hybridMultilevel"/>
    <w:tmpl w:val="EBBAC26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F1C3E"/>
    <w:multiLevelType w:val="hybridMultilevel"/>
    <w:tmpl w:val="5D24AB46"/>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E1EE5"/>
    <w:multiLevelType w:val="hybridMultilevel"/>
    <w:tmpl w:val="E23EFB02"/>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898" w:hanging="360"/>
      </w:pPr>
      <w:rPr>
        <w:rFonts w:ascii="Courier New" w:hAnsi="Courier New" w:cs="Courier New" w:hint="default"/>
      </w:rPr>
    </w:lvl>
    <w:lvl w:ilvl="2" w:tplc="08090005" w:tentative="1">
      <w:start w:val="1"/>
      <w:numFmt w:val="bullet"/>
      <w:lvlText w:val=""/>
      <w:lvlJc w:val="left"/>
      <w:pPr>
        <w:ind w:left="1618" w:hanging="360"/>
      </w:pPr>
      <w:rPr>
        <w:rFonts w:ascii="Wingdings" w:hAnsi="Wingdings" w:hint="default"/>
      </w:rPr>
    </w:lvl>
    <w:lvl w:ilvl="3" w:tplc="08090001" w:tentative="1">
      <w:start w:val="1"/>
      <w:numFmt w:val="bullet"/>
      <w:lvlText w:val=""/>
      <w:lvlJc w:val="left"/>
      <w:pPr>
        <w:ind w:left="2338" w:hanging="360"/>
      </w:pPr>
      <w:rPr>
        <w:rFonts w:ascii="Symbol" w:hAnsi="Symbol" w:hint="default"/>
      </w:rPr>
    </w:lvl>
    <w:lvl w:ilvl="4" w:tplc="08090003" w:tentative="1">
      <w:start w:val="1"/>
      <w:numFmt w:val="bullet"/>
      <w:lvlText w:val="o"/>
      <w:lvlJc w:val="left"/>
      <w:pPr>
        <w:ind w:left="3058" w:hanging="360"/>
      </w:pPr>
      <w:rPr>
        <w:rFonts w:ascii="Courier New" w:hAnsi="Courier New" w:cs="Courier New" w:hint="default"/>
      </w:rPr>
    </w:lvl>
    <w:lvl w:ilvl="5" w:tplc="08090005" w:tentative="1">
      <w:start w:val="1"/>
      <w:numFmt w:val="bullet"/>
      <w:lvlText w:val=""/>
      <w:lvlJc w:val="left"/>
      <w:pPr>
        <w:ind w:left="3778" w:hanging="360"/>
      </w:pPr>
      <w:rPr>
        <w:rFonts w:ascii="Wingdings" w:hAnsi="Wingdings" w:hint="default"/>
      </w:rPr>
    </w:lvl>
    <w:lvl w:ilvl="6" w:tplc="08090001" w:tentative="1">
      <w:start w:val="1"/>
      <w:numFmt w:val="bullet"/>
      <w:lvlText w:val=""/>
      <w:lvlJc w:val="left"/>
      <w:pPr>
        <w:ind w:left="4498" w:hanging="360"/>
      </w:pPr>
      <w:rPr>
        <w:rFonts w:ascii="Symbol" w:hAnsi="Symbol" w:hint="default"/>
      </w:rPr>
    </w:lvl>
    <w:lvl w:ilvl="7" w:tplc="08090003" w:tentative="1">
      <w:start w:val="1"/>
      <w:numFmt w:val="bullet"/>
      <w:lvlText w:val="o"/>
      <w:lvlJc w:val="left"/>
      <w:pPr>
        <w:ind w:left="5218" w:hanging="360"/>
      </w:pPr>
      <w:rPr>
        <w:rFonts w:ascii="Courier New" w:hAnsi="Courier New" w:cs="Courier New" w:hint="default"/>
      </w:rPr>
    </w:lvl>
    <w:lvl w:ilvl="8" w:tplc="08090005" w:tentative="1">
      <w:start w:val="1"/>
      <w:numFmt w:val="bullet"/>
      <w:lvlText w:val=""/>
      <w:lvlJc w:val="left"/>
      <w:pPr>
        <w:ind w:left="5938" w:hanging="360"/>
      </w:pPr>
      <w:rPr>
        <w:rFonts w:ascii="Wingdings" w:hAnsi="Wingdings" w:hint="default"/>
      </w:rPr>
    </w:lvl>
  </w:abstractNum>
  <w:abstractNum w:abstractNumId="6" w15:restartNumberingAfterBreak="0">
    <w:nsid w:val="167658C4"/>
    <w:multiLevelType w:val="hybridMultilevel"/>
    <w:tmpl w:val="090C7988"/>
    <w:lvl w:ilvl="0" w:tplc="2A2AE2DC">
      <w:numFmt w:val="bullet"/>
      <w:lvlText w:val=""/>
      <w:lvlJc w:val="left"/>
      <w:pPr>
        <w:ind w:left="720" w:hanging="360"/>
      </w:pPr>
      <w:rPr>
        <w:rFonts w:ascii="Symbol" w:eastAsia="Arial" w:hAnsi="Symbol" w:cs="Arial" w:hint="default"/>
        <w:w w:val="1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35D86"/>
    <w:multiLevelType w:val="multilevel"/>
    <w:tmpl w:val="3E3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32801"/>
    <w:multiLevelType w:val="hybridMultilevel"/>
    <w:tmpl w:val="ED1C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318D7"/>
    <w:multiLevelType w:val="multilevel"/>
    <w:tmpl w:val="4F5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5D59AE"/>
    <w:multiLevelType w:val="hybridMultilevel"/>
    <w:tmpl w:val="5FE6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F44C17"/>
    <w:multiLevelType w:val="multilevel"/>
    <w:tmpl w:val="A0045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96E9E"/>
    <w:multiLevelType w:val="hybridMultilevel"/>
    <w:tmpl w:val="6470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860B42"/>
    <w:multiLevelType w:val="multilevel"/>
    <w:tmpl w:val="0F7EA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697975"/>
    <w:multiLevelType w:val="hybridMultilevel"/>
    <w:tmpl w:val="6D20EF6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52348"/>
    <w:multiLevelType w:val="hybridMultilevel"/>
    <w:tmpl w:val="591E6546"/>
    <w:lvl w:ilvl="0" w:tplc="2A2AE2DC">
      <w:numFmt w:val="bullet"/>
      <w:lvlText w:val=""/>
      <w:lvlJc w:val="left"/>
      <w:pPr>
        <w:ind w:left="1262"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A34353"/>
    <w:multiLevelType w:val="multilevel"/>
    <w:tmpl w:val="1042F1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7" w15:restartNumberingAfterBreak="0">
    <w:nsid w:val="37FD2F5C"/>
    <w:multiLevelType w:val="hybridMultilevel"/>
    <w:tmpl w:val="54106B8C"/>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7403C"/>
    <w:multiLevelType w:val="hybridMultilevel"/>
    <w:tmpl w:val="1000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717E92"/>
    <w:multiLevelType w:val="hybridMultilevel"/>
    <w:tmpl w:val="07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E1E8B"/>
    <w:multiLevelType w:val="hybridMultilevel"/>
    <w:tmpl w:val="C55E4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CD2C28"/>
    <w:multiLevelType w:val="hybridMultilevel"/>
    <w:tmpl w:val="8F0E79BA"/>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5186C"/>
    <w:multiLevelType w:val="multilevel"/>
    <w:tmpl w:val="3766B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D7C6097"/>
    <w:multiLevelType w:val="multilevel"/>
    <w:tmpl w:val="8040BF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740C1A"/>
    <w:multiLevelType w:val="multilevel"/>
    <w:tmpl w:val="F55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2D3FAB"/>
    <w:multiLevelType w:val="hybridMultilevel"/>
    <w:tmpl w:val="AA54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13687"/>
    <w:multiLevelType w:val="hybridMultilevel"/>
    <w:tmpl w:val="122C7484"/>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681EF0"/>
    <w:multiLevelType w:val="hybridMultilevel"/>
    <w:tmpl w:val="39C234C8"/>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56BA5"/>
    <w:multiLevelType w:val="multilevel"/>
    <w:tmpl w:val="EDDE1B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B87866"/>
    <w:multiLevelType w:val="hybridMultilevel"/>
    <w:tmpl w:val="5C42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A794B"/>
    <w:multiLevelType w:val="hybridMultilevel"/>
    <w:tmpl w:val="E736A96C"/>
    <w:lvl w:ilvl="0" w:tplc="E54E9450">
      <w:numFmt w:val="bullet"/>
      <w:lvlText w:val=""/>
      <w:lvlJc w:val="left"/>
      <w:pPr>
        <w:ind w:left="720" w:hanging="360"/>
      </w:pPr>
      <w:rPr>
        <w:rFonts w:ascii="Wingdings" w:eastAsia="Wingdings" w:hAnsi="Wingdings" w:cs="Wingdings" w:hint="default"/>
        <w:color w:val="009641"/>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D573BC"/>
    <w:multiLevelType w:val="hybridMultilevel"/>
    <w:tmpl w:val="971EED20"/>
    <w:lvl w:ilvl="0" w:tplc="2A2AE2DC">
      <w:numFmt w:val="bullet"/>
      <w:lvlText w:val=""/>
      <w:lvlJc w:val="left"/>
      <w:pPr>
        <w:ind w:left="720" w:hanging="360"/>
      </w:pPr>
      <w:rPr>
        <w:rFonts w:ascii="Symbol" w:eastAsia="Arial" w:hAnsi="Symbol" w:cs="Arial"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477ED7"/>
    <w:multiLevelType w:val="hybridMultilevel"/>
    <w:tmpl w:val="9072FC86"/>
    <w:lvl w:ilvl="0" w:tplc="398C090A">
      <w:start w:val="1"/>
      <w:numFmt w:val="bullet"/>
      <w:lvlText w:val=""/>
      <w:lvlJc w:val="left"/>
      <w:pPr>
        <w:ind w:left="720" w:hanging="360"/>
      </w:pPr>
      <w:rPr>
        <w:rFonts w:ascii="Wingdings" w:hAnsi="Wingdings"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51C86"/>
    <w:multiLevelType w:val="multilevel"/>
    <w:tmpl w:val="D9F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684B3F"/>
    <w:multiLevelType w:val="multilevel"/>
    <w:tmpl w:val="DAEC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DBE28E0"/>
    <w:multiLevelType w:val="hybridMultilevel"/>
    <w:tmpl w:val="A4DE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4"/>
  </w:num>
  <w:num w:numId="4">
    <w:abstractNumId w:val="6"/>
  </w:num>
  <w:num w:numId="5">
    <w:abstractNumId w:val="21"/>
  </w:num>
  <w:num w:numId="6">
    <w:abstractNumId w:val="4"/>
  </w:num>
  <w:num w:numId="7">
    <w:abstractNumId w:val="31"/>
  </w:num>
  <w:num w:numId="8">
    <w:abstractNumId w:val="8"/>
  </w:num>
  <w:num w:numId="9">
    <w:abstractNumId w:val="35"/>
  </w:num>
  <w:num w:numId="10">
    <w:abstractNumId w:val="25"/>
  </w:num>
  <w:num w:numId="11">
    <w:abstractNumId w:val="1"/>
  </w:num>
  <w:num w:numId="12">
    <w:abstractNumId w:val="20"/>
  </w:num>
  <w:num w:numId="13">
    <w:abstractNumId w:val="12"/>
  </w:num>
  <w:num w:numId="14">
    <w:abstractNumId w:val="18"/>
  </w:num>
  <w:num w:numId="15">
    <w:abstractNumId w:val="10"/>
  </w:num>
  <w:num w:numId="16">
    <w:abstractNumId w:val="11"/>
  </w:num>
  <w:num w:numId="17">
    <w:abstractNumId w:val="16"/>
  </w:num>
  <w:num w:numId="18">
    <w:abstractNumId w:val="19"/>
  </w:num>
  <w:num w:numId="19">
    <w:abstractNumId w:val="22"/>
  </w:num>
  <w:num w:numId="20">
    <w:abstractNumId w:val="32"/>
  </w:num>
  <w:num w:numId="21">
    <w:abstractNumId w:val="17"/>
  </w:num>
  <w:num w:numId="22">
    <w:abstractNumId w:val="26"/>
  </w:num>
  <w:num w:numId="23">
    <w:abstractNumId w:val="27"/>
  </w:num>
  <w:num w:numId="24">
    <w:abstractNumId w:val="3"/>
  </w:num>
  <w:num w:numId="25">
    <w:abstractNumId w:val="30"/>
  </w:num>
  <w:num w:numId="26">
    <w:abstractNumId w:val="29"/>
  </w:num>
  <w:num w:numId="27">
    <w:abstractNumId w:val="7"/>
  </w:num>
  <w:num w:numId="28">
    <w:abstractNumId w:val="23"/>
  </w:num>
  <w:num w:numId="29">
    <w:abstractNumId w:val="0"/>
  </w:num>
  <w:num w:numId="30">
    <w:abstractNumId w:val="2"/>
  </w:num>
  <w:num w:numId="31">
    <w:abstractNumId w:val="9"/>
  </w:num>
  <w:num w:numId="32">
    <w:abstractNumId w:val="33"/>
  </w:num>
  <w:num w:numId="33">
    <w:abstractNumId w:val="34"/>
  </w:num>
  <w:num w:numId="34">
    <w:abstractNumId w:val="13"/>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yMTGytLQwMbawNDFT0lEKTi0uzszPAykwrgUAUWfbSywAAAA="/>
  </w:docVars>
  <w:rsids>
    <w:rsidRoot w:val="004B4494"/>
    <w:rsid w:val="000009C2"/>
    <w:rsid w:val="00000B9A"/>
    <w:rsid w:val="00017A29"/>
    <w:rsid w:val="00020981"/>
    <w:rsid w:val="0004108E"/>
    <w:rsid w:val="000C62AD"/>
    <w:rsid w:val="000F2800"/>
    <w:rsid w:val="00105917"/>
    <w:rsid w:val="001148E3"/>
    <w:rsid w:val="00117E30"/>
    <w:rsid w:val="00155731"/>
    <w:rsid w:val="00186FD7"/>
    <w:rsid w:val="00194088"/>
    <w:rsid w:val="001A1131"/>
    <w:rsid w:val="001C7DE1"/>
    <w:rsid w:val="001D625A"/>
    <w:rsid w:val="001F3773"/>
    <w:rsid w:val="0027383E"/>
    <w:rsid w:val="002B0863"/>
    <w:rsid w:val="002E00CB"/>
    <w:rsid w:val="002F47A7"/>
    <w:rsid w:val="002F4CA5"/>
    <w:rsid w:val="00360001"/>
    <w:rsid w:val="00360240"/>
    <w:rsid w:val="00394693"/>
    <w:rsid w:val="003A13FE"/>
    <w:rsid w:val="003B2D0A"/>
    <w:rsid w:val="003B30DE"/>
    <w:rsid w:val="003B3950"/>
    <w:rsid w:val="003B4F08"/>
    <w:rsid w:val="003D2671"/>
    <w:rsid w:val="003E3BEF"/>
    <w:rsid w:val="003F29CE"/>
    <w:rsid w:val="00403464"/>
    <w:rsid w:val="00423666"/>
    <w:rsid w:val="00425492"/>
    <w:rsid w:val="00493A78"/>
    <w:rsid w:val="00495E0F"/>
    <w:rsid w:val="0049774F"/>
    <w:rsid w:val="004B4494"/>
    <w:rsid w:val="004C1440"/>
    <w:rsid w:val="004C7E90"/>
    <w:rsid w:val="00514B3B"/>
    <w:rsid w:val="00524D81"/>
    <w:rsid w:val="00532E46"/>
    <w:rsid w:val="00544C8C"/>
    <w:rsid w:val="00545CA8"/>
    <w:rsid w:val="005A3E31"/>
    <w:rsid w:val="005F1C3D"/>
    <w:rsid w:val="005F7788"/>
    <w:rsid w:val="0062477D"/>
    <w:rsid w:val="00624B92"/>
    <w:rsid w:val="0065212F"/>
    <w:rsid w:val="006C4089"/>
    <w:rsid w:val="0071278A"/>
    <w:rsid w:val="007176AC"/>
    <w:rsid w:val="0074418B"/>
    <w:rsid w:val="0076370C"/>
    <w:rsid w:val="00801D01"/>
    <w:rsid w:val="0082465E"/>
    <w:rsid w:val="00861D7E"/>
    <w:rsid w:val="00886597"/>
    <w:rsid w:val="008931D2"/>
    <w:rsid w:val="008934E8"/>
    <w:rsid w:val="008975F0"/>
    <w:rsid w:val="008A0828"/>
    <w:rsid w:val="008A28A3"/>
    <w:rsid w:val="008C1F14"/>
    <w:rsid w:val="008F7959"/>
    <w:rsid w:val="00907396"/>
    <w:rsid w:val="00944DC0"/>
    <w:rsid w:val="00947B86"/>
    <w:rsid w:val="00962034"/>
    <w:rsid w:val="00995646"/>
    <w:rsid w:val="009B0885"/>
    <w:rsid w:val="00A068B7"/>
    <w:rsid w:val="00A42E7F"/>
    <w:rsid w:val="00A50B59"/>
    <w:rsid w:val="00A8123B"/>
    <w:rsid w:val="00A836F5"/>
    <w:rsid w:val="00A9346E"/>
    <w:rsid w:val="00B23ACA"/>
    <w:rsid w:val="00B634C4"/>
    <w:rsid w:val="00BA1386"/>
    <w:rsid w:val="00BC37D4"/>
    <w:rsid w:val="00BC6048"/>
    <w:rsid w:val="00C5717F"/>
    <w:rsid w:val="00CA2630"/>
    <w:rsid w:val="00CC583A"/>
    <w:rsid w:val="00CD5B48"/>
    <w:rsid w:val="00D049ED"/>
    <w:rsid w:val="00D04D2B"/>
    <w:rsid w:val="00D129EF"/>
    <w:rsid w:val="00D22786"/>
    <w:rsid w:val="00D85AF1"/>
    <w:rsid w:val="00D95E41"/>
    <w:rsid w:val="00DA034C"/>
    <w:rsid w:val="00DA3E74"/>
    <w:rsid w:val="00E260C4"/>
    <w:rsid w:val="00E70E26"/>
    <w:rsid w:val="00E747DA"/>
    <w:rsid w:val="00E75718"/>
    <w:rsid w:val="00EA2979"/>
    <w:rsid w:val="00EC7024"/>
    <w:rsid w:val="00ED3884"/>
    <w:rsid w:val="00EF4EEE"/>
    <w:rsid w:val="00F21812"/>
    <w:rsid w:val="00F220E2"/>
    <w:rsid w:val="00F51E84"/>
    <w:rsid w:val="00F87C77"/>
    <w:rsid w:val="00FA5D7F"/>
    <w:rsid w:val="00FB1C50"/>
    <w:rsid w:val="00FC4348"/>
    <w:rsid w:val="00FE3013"/>
    <w:rsid w:val="00FE714C"/>
    <w:rsid w:val="00FF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ECB5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423666"/>
    <w:pPr>
      <w:keepNext/>
      <w:widowControl/>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009C2"/>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basedOn w:val="Normal"/>
    <w:next w:val="Normal"/>
    <w:link w:val="Heading3Char"/>
    <w:uiPriority w:val="9"/>
    <w:semiHidden/>
    <w:unhideWhenUsed/>
    <w:qFormat/>
    <w:rsid w:val="00423666"/>
    <w:pPr>
      <w:keepNext/>
      <w:widowControl/>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23666"/>
    <w:pPr>
      <w:keepNext/>
      <w:widowControl/>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23666"/>
    <w:pPr>
      <w:widowControl/>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23666"/>
    <w:pPr>
      <w:widowControl/>
      <w:tabs>
        <w:tab w:val="num" w:pos="4320"/>
      </w:tabs>
      <w:spacing w:before="240" w:after="60"/>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23666"/>
    <w:pPr>
      <w:widowControl/>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23666"/>
    <w:pPr>
      <w:widowControl/>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23666"/>
    <w:pPr>
      <w:widowControl/>
      <w:tabs>
        <w:tab w:val="num" w:pos="6480"/>
      </w:tabs>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3013"/>
    <w:pPr>
      <w:tabs>
        <w:tab w:val="center" w:pos="4513"/>
        <w:tab w:val="right" w:pos="9026"/>
      </w:tabs>
    </w:pPr>
  </w:style>
  <w:style w:type="character" w:customStyle="1" w:styleId="HeaderChar">
    <w:name w:val="Header Char"/>
    <w:basedOn w:val="DefaultParagraphFont"/>
    <w:link w:val="Header"/>
    <w:uiPriority w:val="99"/>
    <w:rsid w:val="00FE3013"/>
    <w:rPr>
      <w:rFonts w:ascii="Arial" w:eastAsia="Arial" w:hAnsi="Arial" w:cs="Arial"/>
    </w:rPr>
  </w:style>
  <w:style w:type="paragraph" w:styleId="Footer">
    <w:name w:val="footer"/>
    <w:basedOn w:val="Normal"/>
    <w:link w:val="FooterChar"/>
    <w:uiPriority w:val="99"/>
    <w:unhideWhenUsed/>
    <w:rsid w:val="00FE3013"/>
    <w:pPr>
      <w:tabs>
        <w:tab w:val="center" w:pos="4513"/>
        <w:tab w:val="right" w:pos="9026"/>
      </w:tabs>
    </w:pPr>
  </w:style>
  <w:style w:type="character" w:customStyle="1" w:styleId="FooterChar">
    <w:name w:val="Footer Char"/>
    <w:basedOn w:val="DefaultParagraphFont"/>
    <w:link w:val="Footer"/>
    <w:uiPriority w:val="99"/>
    <w:rsid w:val="00FE3013"/>
    <w:rPr>
      <w:rFonts w:ascii="Arial" w:eastAsia="Arial" w:hAnsi="Arial" w:cs="Arial"/>
    </w:rPr>
  </w:style>
  <w:style w:type="paragraph" w:styleId="NoSpacing">
    <w:name w:val="No Spacing"/>
    <w:uiPriority w:val="1"/>
    <w:qFormat/>
    <w:rsid w:val="00FE3013"/>
    <w:pPr>
      <w:widowControl/>
    </w:pPr>
    <w:rPr>
      <w:rFonts w:eastAsiaTheme="minorEastAsia"/>
      <w:lang w:eastAsia="zh-CN"/>
    </w:rPr>
  </w:style>
  <w:style w:type="character" w:styleId="PlaceholderText">
    <w:name w:val="Placeholder Text"/>
    <w:basedOn w:val="DefaultParagraphFont"/>
    <w:uiPriority w:val="99"/>
    <w:semiHidden/>
    <w:rsid w:val="000C62AD"/>
    <w:rPr>
      <w:color w:val="808080"/>
    </w:rPr>
  </w:style>
  <w:style w:type="table" w:styleId="TableGrid">
    <w:name w:val="Table Grid"/>
    <w:basedOn w:val="TableNormal"/>
    <w:uiPriority w:val="59"/>
    <w:rsid w:val="00B23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81"/>
    <w:rPr>
      <w:rFonts w:ascii="Segoe UI" w:eastAsia="Arial" w:hAnsi="Segoe UI" w:cs="Segoe UI"/>
      <w:sz w:val="18"/>
      <w:szCs w:val="18"/>
    </w:rPr>
  </w:style>
  <w:style w:type="paragraph" w:styleId="NormalWeb">
    <w:name w:val="Normal (Web)"/>
    <w:basedOn w:val="Normal"/>
    <w:uiPriority w:val="99"/>
    <w:rsid w:val="00EF4EEE"/>
    <w:pPr>
      <w:widowControl/>
      <w:spacing w:before="100" w:beforeAutospacing="1" w:after="100" w:afterAutospacing="1"/>
    </w:pPr>
    <w:rPr>
      <w:rFonts w:ascii="Times New Roman" w:eastAsia="Times New Roman" w:hAnsi="Times New Roman" w:cs="Times New Roman"/>
      <w:color w:val="000000"/>
      <w:sz w:val="24"/>
      <w:szCs w:val="24"/>
      <w:lang w:val="en-GB" w:eastAsia="en-GB"/>
    </w:rPr>
  </w:style>
  <w:style w:type="paragraph" w:customStyle="1" w:styleId="DefaultText">
    <w:name w:val="Default Text"/>
    <w:basedOn w:val="Normal"/>
    <w:rsid w:val="00EF4EEE"/>
    <w:pPr>
      <w:widowControl/>
    </w:pPr>
    <w:rPr>
      <w:rFonts w:ascii="Times New Roman" w:eastAsia="Times New Roman" w:hAnsi="Times New Roman" w:cs="Times New Roman"/>
      <w:sz w:val="24"/>
      <w:szCs w:val="20"/>
      <w:lang w:val="en-GB"/>
    </w:rPr>
  </w:style>
  <w:style w:type="character" w:styleId="Hyperlink">
    <w:name w:val="Hyperlink"/>
    <w:basedOn w:val="DefaultParagraphFont"/>
    <w:uiPriority w:val="99"/>
    <w:semiHidden/>
    <w:unhideWhenUsed/>
    <w:rsid w:val="00F21812"/>
    <w:rPr>
      <w:b w:val="0"/>
      <w:bCs w:val="0"/>
      <w:strike w:val="0"/>
      <w:dstrike w:val="0"/>
      <w:color w:val="009900"/>
      <w:u w:val="none"/>
      <w:effect w:val="none"/>
    </w:rPr>
  </w:style>
  <w:style w:type="character" w:customStyle="1" w:styleId="Heading2Char">
    <w:name w:val="Heading 2 Char"/>
    <w:basedOn w:val="DefaultParagraphFont"/>
    <w:link w:val="Heading2"/>
    <w:uiPriority w:val="9"/>
    <w:rsid w:val="000009C2"/>
    <w:rPr>
      <w:rFonts w:asciiTheme="majorHAnsi" w:eastAsiaTheme="majorEastAsia" w:hAnsiTheme="majorHAnsi" w:cstheme="majorBidi"/>
      <w:color w:val="276E8B" w:themeColor="accent1" w:themeShade="BF"/>
      <w:sz w:val="26"/>
      <w:szCs w:val="26"/>
    </w:rPr>
  </w:style>
  <w:style w:type="character" w:customStyle="1" w:styleId="Heading1Char">
    <w:name w:val="Heading 1 Char"/>
    <w:basedOn w:val="DefaultParagraphFont"/>
    <w:link w:val="Heading1"/>
    <w:uiPriority w:val="9"/>
    <w:rsid w:val="00423666"/>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42366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3666"/>
    <w:rPr>
      <w:rFonts w:eastAsiaTheme="minorEastAsia"/>
      <w:b/>
      <w:bCs/>
      <w:sz w:val="28"/>
      <w:szCs w:val="28"/>
    </w:rPr>
  </w:style>
  <w:style w:type="character" w:customStyle="1" w:styleId="Heading5Char">
    <w:name w:val="Heading 5 Char"/>
    <w:basedOn w:val="DefaultParagraphFont"/>
    <w:link w:val="Heading5"/>
    <w:uiPriority w:val="9"/>
    <w:semiHidden/>
    <w:rsid w:val="00423666"/>
    <w:rPr>
      <w:rFonts w:eastAsiaTheme="minorEastAsia"/>
      <w:b/>
      <w:bCs/>
      <w:i/>
      <w:iCs/>
      <w:sz w:val="26"/>
      <w:szCs w:val="26"/>
    </w:rPr>
  </w:style>
  <w:style w:type="character" w:customStyle="1" w:styleId="Heading6Char">
    <w:name w:val="Heading 6 Char"/>
    <w:basedOn w:val="DefaultParagraphFont"/>
    <w:link w:val="Heading6"/>
    <w:rsid w:val="0042366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23666"/>
    <w:rPr>
      <w:rFonts w:eastAsiaTheme="minorEastAsia"/>
      <w:sz w:val="24"/>
      <w:szCs w:val="24"/>
    </w:rPr>
  </w:style>
  <w:style w:type="character" w:customStyle="1" w:styleId="Heading8Char">
    <w:name w:val="Heading 8 Char"/>
    <w:basedOn w:val="DefaultParagraphFont"/>
    <w:link w:val="Heading8"/>
    <w:uiPriority w:val="9"/>
    <w:semiHidden/>
    <w:rsid w:val="00423666"/>
    <w:rPr>
      <w:rFonts w:eastAsiaTheme="minorEastAsia"/>
      <w:i/>
      <w:iCs/>
      <w:sz w:val="24"/>
      <w:szCs w:val="24"/>
    </w:rPr>
  </w:style>
  <w:style w:type="character" w:customStyle="1" w:styleId="Heading9Char">
    <w:name w:val="Heading 9 Char"/>
    <w:basedOn w:val="DefaultParagraphFont"/>
    <w:link w:val="Heading9"/>
    <w:uiPriority w:val="9"/>
    <w:semiHidden/>
    <w:rsid w:val="00423666"/>
    <w:rPr>
      <w:rFonts w:asciiTheme="majorHAnsi" w:eastAsiaTheme="majorEastAsia" w:hAnsiTheme="majorHAnsi" w:cstheme="majorBidi"/>
    </w:rPr>
  </w:style>
  <w:style w:type="paragraph" w:customStyle="1" w:styleId="Default">
    <w:name w:val="Default"/>
    <w:rsid w:val="003B30DE"/>
    <w:pPr>
      <w:widowControl/>
      <w:autoSpaceDE w:val="0"/>
      <w:autoSpaceDN w:val="0"/>
      <w:adjustRightInd w:val="0"/>
    </w:pPr>
    <w:rPr>
      <w:rFonts w:ascii="HelveticaNeueLT Std" w:hAnsi="HelveticaNeueLT Std" w:cs="HelveticaNeueLT Std"/>
      <w:color w:val="000000"/>
      <w:sz w:val="24"/>
      <w:szCs w:val="24"/>
      <w:lang w:val="en-GB"/>
    </w:rPr>
  </w:style>
  <w:style w:type="paragraph" w:customStyle="1" w:styleId="Pa5">
    <w:name w:val="Pa5"/>
    <w:basedOn w:val="Default"/>
    <w:next w:val="Default"/>
    <w:uiPriority w:val="99"/>
    <w:rsid w:val="003B30DE"/>
    <w:pPr>
      <w:spacing w:line="221" w:lineRule="atLeast"/>
    </w:pPr>
    <w:rPr>
      <w:rFonts w:cstheme="minorBidi"/>
      <w:color w:val="auto"/>
    </w:rPr>
  </w:style>
  <w:style w:type="paragraph" w:customStyle="1" w:styleId="Pa1">
    <w:name w:val="Pa1"/>
    <w:basedOn w:val="Default"/>
    <w:next w:val="Default"/>
    <w:uiPriority w:val="99"/>
    <w:rsid w:val="003B30DE"/>
    <w:pPr>
      <w:spacing w:line="201" w:lineRule="atLeast"/>
    </w:pPr>
    <w:rPr>
      <w:rFonts w:cstheme="minorBidi"/>
      <w:color w:val="auto"/>
    </w:rPr>
  </w:style>
  <w:style w:type="paragraph" w:customStyle="1" w:styleId="paragraph">
    <w:name w:val="paragraph"/>
    <w:basedOn w:val="Normal"/>
    <w:rsid w:val="003B30D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B30DE"/>
  </w:style>
  <w:style w:type="character" w:customStyle="1" w:styleId="eop">
    <w:name w:val="eop"/>
    <w:basedOn w:val="DefaultParagraphFont"/>
    <w:rsid w:val="003B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01671">
      <w:bodyDiv w:val="1"/>
      <w:marLeft w:val="0"/>
      <w:marRight w:val="0"/>
      <w:marTop w:val="0"/>
      <w:marBottom w:val="0"/>
      <w:divBdr>
        <w:top w:val="none" w:sz="0" w:space="0" w:color="auto"/>
        <w:left w:val="none" w:sz="0" w:space="0" w:color="auto"/>
        <w:bottom w:val="none" w:sz="0" w:space="0" w:color="auto"/>
        <w:right w:val="none" w:sz="0" w:space="0" w:color="auto"/>
      </w:divBdr>
    </w:div>
    <w:div w:id="224340522">
      <w:bodyDiv w:val="1"/>
      <w:marLeft w:val="0"/>
      <w:marRight w:val="0"/>
      <w:marTop w:val="0"/>
      <w:marBottom w:val="0"/>
      <w:divBdr>
        <w:top w:val="none" w:sz="0" w:space="0" w:color="auto"/>
        <w:left w:val="none" w:sz="0" w:space="0" w:color="auto"/>
        <w:bottom w:val="none" w:sz="0" w:space="0" w:color="auto"/>
        <w:right w:val="none" w:sz="0" w:space="0" w:color="auto"/>
      </w:divBdr>
    </w:div>
    <w:div w:id="234095272">
      <w:bodyDiv w:val="1"/>
      <w:marLeft w:val="0"/>
      <w:marRight w:val="0"/>
      <w:marTop w:val="0"/>
      <w:marBottom w:val="0"/>
      <w:divBdr>
        <w:top w:val="none" w:sz="0" w:space="0" w:color="auto"/>
        <w:left w:val="none" w:sz="0" w:space="0" w:color="auto"/>
        <w:bottom w:val="none" w:sz="0" w:space="0" w:color="auto"/>
        <w:right w:val="none" w:sz="0" w:space="0" w:color="auto"/>
      </w:divBdr>
    </w:div>
    <w:div w:id="281109903">
      <w:bodyDiv w:val="1"/>
      <w:marLeft w:val="0"/>
      <w:marRight w:val="0"/>
      <w:marTop w:val="0"/>
      <w:marBottom w:val="0"/>
      <w:divBdr>
        <w:top w:val="none" w:sz="0" w:space="0" w:color="auto"/>
        <w:left w:val="none" w:sz="0" w:space="0" w:color="auto"/>
        <w:bottom w:val="none" w:sz="0" w:space="0" w:color="auto"/>
        <w:right w:val="none" w:sz="0" w:space="0" w:color="auto"/>
      </w:divBdr>
    </w:div>
    <w:div w:id="502355236">
      <w:bodyDiv w:val="1"/>
      <w:marLeft w:val="0"/>
      <w:marRight w:val="0"/>
      <w:marTop w:val="0"/>
      <w:marBottom w:val="0"/>
      <w:divBdr>
        <w:top w:val="none" w:sz="0" w:space="0" w:color="auto"/>
        <w:left w:val="none" w:sz="0" w:space="0" w:color="auto"/>
        <w:bottom w:val="none" w:sz="0" w:space="0" w:color="auto"/>
        <w:right w:val="none" w:sz="0" w:space="0" w:color="auto"/>
      </w:divBdr>
      <w:divsChild>
        <w:div w:id="30351249">
          <w:marLeft w:val="0"/>
          <w:marRight w:val="0"/>
          <w:marTop w:val="180"/>
          <w:marBottom w:val="150"/>
          <w:divBdr>
            <w:top w:val="none" w:sz="0" w:space="0" w:color="auto"/>
            <w:left w:val="none" w:sz="0" w:space="0" w:color="auto"/>
            <w:bottom w:val="none" w:sz="0" w:space="0" w:color="auto"/>
            <w:right w:val="none" w:sz="0" w:space="0" w:color="auto"/>
          </w:divBdr>
          <w:divsChild>
            <w:div w:id="318849182">
              <w:marLeft w:val="0"/>
              <w:marRight w:val="0"/>
              <w:marTop w:val="105"/>
              <w:marBottom w:val="0"/>
              <w:divBdr>
                <w:top w:val="none" w:sz="0" w:space="0" w:color="auto"/>
                <w:left w:val="none" w:sz="0" w:space="0" w:color="auto"/>
                <w:bottom w:val="none" w:sz="0" w:space="0" w:color="auto"/>
                <w:right w:val="none" w:sz="0" w:space="0" w:color="auto"/>
              </w:divBdr>
              <w:divsChild>
                <w:div w:id="1553730147">
                  <w:marLeft w:val="0"/>
                  <w:marRight w:val="0"/>
                  <w:marTop w:val="0"/>
                  <w:marBottom w:val="0"/>
                  <w:divBdr>
                    <w:top w:val="none" w:sz="0" w:space="0" w:color="auto"/>
                    <w:left w:val="none" w:sz="0" w:space="0" w:color="auto"/>
                    <w:bottom w:val="none" w:sz="0" w:space="0" w:color="auto"/>
                    <w:right w:val="none" w:sz="0" w:space="0" w:color="auto"/>
                  </w:divBdr>
                  <w:divsChild>
                    <w:div w:id="13037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5632">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
    <w:div w:id="1490710050">
      <w:bodyDiv w:val="1"/>
      <w:marLeft w:val="0"/>
      <w:marRight w:val="0"/>
      <w:marTop w:val="0"/>
      <w:marBottom w:val="0"/>
      <w:divBdr>
        <w:top w:val="none" w:sz="0" w:space="0" w:color="auto"/>
        <w:left w:val="none" w:sz="0" w:space="0" w:color="auto"/>
        <w:bottom w:val="none" w:sz="0" w:space="0" w:color="auto"/>
        <w:right w:val="none" w:sz="0" w:space="0" w:color="auto"/>
      </w:divBdr>
    </w:div>
    <w:div w:id="1586069284">
      <w:bodyDiv w:val="1"/>
      <w:marLeft w:val="0"/>
      <w:marRight w:val="0"/>
      <w:marTop w:val="0"/>
      <w:marBottom w:val="0"/>
      <w:divBdr>
        <w:top w:val="none" w:sz="0" w:space="0" w:color="auto"/>
        <w:left w:val="none" w:sz="0" w:space="0" w:color="auto"/>
        <w:bottom w:val="none" w:sz="0" w:space="0" w:color="auto"/>
        <w:right w:val="none" w:sz="0" w:space="0" w:color="auto"/>
      </w:divBdr>
    </w:div>
    <w:div w:id="1687361504">
      <w:bodyDiv w:val="1"/>
      <w:marLeft w:val="0"/>
      <w:marRight w:val="0"/>
      <w:marTop w:val="0"/>
      <w:marBottom w:val="0"/>
      <w:divBdr>
        <w:top w:val="none" w:sz="0" w:space="0" w:color="auto"/>
        <w:left w:val="none" w:sz="0" w:space="0" w:color="auto"/>
        <w:bottom w:val="none" w:sz="0" w:space="0" w:color="auto"/>
        <w:right w:val="none" w:sz="0" w:space="0" w:color="auto"/>
      </w:divBdr>
      <w:divsChild>
        <w:div w:id="910850419">
          <w:marLeft w:val="0"/>
          <w:marRight w:val="0"/>
          <w:marTop w:val="0"/>
          <w:marBottom w:val="0"/>
          <w:divBdr>
            <w:top w:val="none" w:sz="0" w:space="0" w:color="auto"/>
            <w:left w:val="none" w:sz="0" w:space="0" w:color="auto"/>
            <w:bottom w:val="none" w:sz="0" w:space="0" w:color="auto"/>
            <w:right w:val="none" w:sz="0" w:space="0" w:color="auto"/>
          </w:divBdr>
          <w:divsChild>
            <w:div w:id="5696544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33106089">
                  <w:marLeft w:val="0"/>
                  <w:marRight w:val="0"/>
                  <w:marTop w:val="75"/>
                  <w:marBottom w:val="300"/>
                  <w:divBdr>
                    <w:top w:val="none" w:sz="0" w:space="0" w:color="auto"/>
                    <w:left w:val="none" w:sz="0" w:space="0" w:color="auto"/>
                    <w:bottom w:val="none" w:sz="0" w:space="0" w:color="auto"/>
                    <w:right w:val="none" w:sz="0" w:space="0" w:color="auto"/>
                  </w:divBdr>
                  <w:divsChild>
                    <w:div w:id="1022050207">
                      <w:marLeft w:val="0"/>
                      <w:marRight w:val="0"/>
                      <w:marTop w:val="0"/>
                      <w:marBottom w:val="0"/>
                      <w:divBdr>
                        <w:top w:val="none" w:sz="0" w:space="0" w:color="auto"/>
                        <w:left w:val="none" w:sz="0" w:space="0" w:color="auto"/>
                        <w:bottom w:val="none" w:sz="0" w:space="0" w:color="auto"/>
                        <w:right w:val="none" w:sz="0" w:space="0" w:color="auto"/>
                      </w:divBdr>
                      <w:divsChild>
                        <w:div w:id="14002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588378">
      <w:bodyDiv w:val="1"/>
      <w:marLeft w:val="0"/>
      <w:marRight w:val="0"/>
      <w:marTop w:val="0"/>
      <w:marBottom w:val="0"/>
      <w:divBdr>
        <w:top w:val="none" w:sz="0" w:space="0" w:color="auto"/>
        <w:left w:val="none" w:sz="0" w:space="0" w:color="auto"/>
        <w:bottom w:val="none" w:sz="0" w:space="0" w:color="auto"/>
        <w:right w:val="none" w:sz="0" w:space="0" w:color="auto"/>
      </w:divBdr>
      <w:divsChild>
        <w:div w:id="954212158">
          <w:marLeft w:val="0"/>
          <w:marRight w:val="0"/>
          <w:marTop w:val="0"/>
          <w:marBottom w:val="0"/>
          <w:divBdr>
            <w:top w:val="none" w:sz="0" w:space="0" w:color="auto"/>
            <w:left w:val="none" w:sz="0" w:space="0" w:color="auto"/>
            <w:bottom w:val="none" w:sz="0" w:space="0" w:color="auto"/>
            <w:right w:val="none" w:sz="0" w:space="0" w:color="auto"/>
          </w:divBdr>
          <w:divsChild>
            <w:div w:id="1579438083">
              <w:marLeft w:val="0"/>
              <w:marRight w:val="0"/>
              <w:marTop w:val="0"/>
              <w:marBottom w:val="0"/>
              <w:divBdr>
                <w:top w:val="none" w:sz="0" w:space="0" w:color="auto"/>
                <w:left w:val="none" w:sz="0" w:space="0" w:color="auto"/>
                <w:bottom w:val="none" w:sz="0" w:space="0" w:color="auto"/>
                <w:right w:val="none" w:sz="0" w:space="0" w:color="auto"/>
              </w:divBdr>
            </w:div>
            <w:div w:id="903098722">
              <w:marLeft w:val="0"/>
              <w:marRight w:val="0"/>
              <w:marTop w:val="0"/>
              <w:marBottom w:val="0"/>
              <w:divBdr>
                <w:top w:val="none" w:sz="0" w:space="0" w:color="auto"/>
                <w:left w:val="none" w:sz="0" w:space="0" w:color="auto"/>
                <w:bottom w:val="none" w:sz="0" w:space="0" w:color="auto"/>
                <w:right w:val="none" w:sz="0" w:space="0" w:color="auto"/>
              </w:divBdr>
            </w:div>
            <w:div w:id="1885293244">
              <w:marLeft w:val="0"/>
              <w:marRight w:val="0"/>
              <w:marTop w:val="0"/>
              <w:marBottom w:val="0"/>
              <w:divBdr>
                <w:top w:val="none" w:sz="0" w:space="0" w:color="auto"/>
                <w:left w:val="none" w:sz="0" w:space="0" w:color="auto"/>
                <w:bottom w:val="none" w:sz="0" w:space="0" w:color="auto"/>
                <w:right w:val="none" w:sz="0" w:space="0" w:color="auto"/>
              </w:divBdr>
            </w:div>
          </w:divsChild>
        </w:div>
        <w:div w:id="114252973">
          <w:marLeft w:val="0"/>
          <w:marRight w:val="0"/>
          <w:marTop w:val="0"/>
          <w:marBottom w:val="0"/>
          <w:divBdr>
            <w:top w:val="none" w:sz="0" w:space="0" w:color="auto"/>
            <w:left w:val="none" w:sz="0" w:space="0" w:color="auto"/>
            <w:bottom w:val="none" w:sz="0" w:space="0" w:color="auto"/>
            <w:right w:val="none" w:sz="0" w:space="0" w:color="auto"/>
          </w:divBdr>
          <w:divsChild>
            <w:div w:id="950936845">
              <w:marLeft w:val="0"/>
              <w:marRight w:val="0"/>
              <w:marTop w:val="0"/>
              <w:marBottom w:val="0"/>
              <w:divBdr>
                <w:top w:val="none" w:sz="0" w:space="0" w:color="auto"/>
                <w:left w:val="none" w:sz="0" w:space="0" w:color="auto"/>
                <w:bottom w:val="none" w:sz="0" w:space="0" w:color="auto"/>
                <w:right w:val="none" w:sz="0" w:space="0" w:color="auto"/>
              </w:divBdr>
            </w:div>
          </w:divsChild>
        </w:div>
        <w:div w:id="1786733017">
          <w:marLeft w:val="0"/>
          <w:marRight w:val="0"/>
          <w:marTop w:val="0"/>
          <w:marBottom w:val="0"/>
          <w:divBdr>
            <w:top w:val="none" w:sz="0" w:space="0" w:color="auto"/>
            <w:left w:val="none" w:sz="0" w:space="0" w:color="auto"/>
            <w:bottom w:val="none" w:sz="0" w:space="0" w:color="auto"/>
            <w:right w:val="none" w:sz="0" w:space="0" w:color="auto"/>
          </w:divBdr>
          <w:divsChild>
            <w:div w:id="1847790268">
              <w:marLeft w:val="0"/>
              <w:marRight w:val="0"/>
              <w:marTop w:val="0"/>
              <w:marBottom w:val="0"/>
              <w:divBdr>
                <w:top w:val="none" w:sz="0" w:space="0" w:color="auto"/>
                <w:left w:val="none" w:sz="0" w:space="0" w:color="auto"/>
                <w:bottom w:val="none" w:sz="0" w:space="0" w:color="auto"/>
                <w:right w:val="none" w:sz="0" w:space="0" w:color="auto"/>
              </w:divBdr>
            </w:div>
            <w:div w:id="773790781">
              <w:marLeft w:val="0"/>
              <w:marRight w:val="0"/>
              <w:marTop w:val="0"/>
              <w:marBottom w:val="0"/>
              <w:divBdr>
                <w:top w:val="none" w:sz="0" w:space="0" w:color="auto"/>
                <w:left w:val="none" w:sz="0" w:space="0" w:color="auto"/>
                <w:bottom w:val="none" w:sz="0" w:space="0" w:color="auto"/>
                <w:right w:val="none" w:sz="0" w:space="0" w:color="auto"/>
              </w:divBdr>
            </w:div>
          </w:divsChild>
        </w:div>
        <w:div w:id="1970356505">
          <w:marLeft w:val="0"/>
          <w:marRight w:val="0"/>
          <w:marTop w:val="0"/>
          <w:marBottom w:val="0"/>
          <w:divBdr>
            <w:top w:val="none" w:sz="0" w:space="0" w:color="auto"/>
            <w:left w:val="none" w:sz="0" w:space="0" w:color="auto"/>
            <w:bottom w:val="none" w:sz="0" w:space="0" w:color="auto"/>
            <w:right w:val="none" w:sz="0" w:space="0" w:color="auto"/>
          </w:divBdr>
          <w:divsChild>
            <w:div w:id="1603688420">
              <w:marLeft w:val="0"/>
              <w:marRight w:val="0"/>
              <w:marTop w:val="0"/>
              <w:marBottom w:val="0"/>
              <w:divBdr>
                <w:top w:val="none" w:sz="0" w:space="0" w:color="auto"/>
                <w:left w:val="none" w:sz="0" w:space="0" w:color="auto"/>
                <w:bottom w:val="none" w:sz="0" w:space="0" w:color="auto"/>
                <w:right w:val="none" w:sz="0" w:space="0" w:color="auto"/>
              </w:divBdr>
            </w:div>
            <w:div w:id="2131699218">
              <w:marLeft w:val="0"/>
              <w:marRight w:val="0"/>
              <w:marTop w:val="0"/>
              <w:marBottom w:val="0"/>
              <w:divBdr>
                <w:top w:val="none" w:sz="0" w:space="0" w:color="auto"/>
                <w:left w:val="none" w:sz="0" w:space="0" w:color="auto"/>
                <w:bottom w:val="none" w:sz="0" w:space="0" w:color="auto"/>
                <w:right w:val="none" w:sz="0" w:space="0" w:color="auto"/>
              </w:divBdr>
            </w:div>
            <w:div w:id="240868995">
              <w:marLeft w:val="0"/>
              <w:marRight w:val="0"/>
              <w:marTop w:val="0"/>
              <w:marBottom w:val="0"/>
              <w:divBdr>
                <w:top w:val="none" w:sz="0" w:space="0" w:color="auto"/>
                <w:left w:val="none" w:sz="0" w:space="0" w:color="auto"/>
                <w:bottom w:val="none" w:sz="0" w:space="0" w:color="auto"/>
                <w:right w:val="none" w:sz="0" w:space="0" w:color="auto"/>
              </w:divBdr>
            </w:div>
            <w:div w:id="201969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4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spPr>
      <a:bodyPr rot="0" vert="horz" wrap="square" lIns="91440" tIns="45720" rIns="91440" bIns="45720" anchor="t" anchorCtr="0" upright="1">
        <a:noAutofit/>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15776 _Letterhead.indd</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15776 _Letterhead.indd</dc:title>
  <dc:creator>Kirsty Warner</dc:creator>
  <cp:lastModifiedBy>Andrew Deas</cp:lastModifiedBy>
  <cp:revision>7</cp:revision>
  <cp:lastPrinted>2017-07-05T15:40:00Z</cp:lastPrinted>
  <dcterms:created xsi:type="dcterms:W3CDTF">2021-10-01T13:59:00Z</dcterms:created>
  <dcterms:modified xsi:type="dcterms:W3CDTF">2021-10-01T14:41:00Z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Adobe InDesign CC 2015 (Macintosh)</vt:lpwstr>
  </property>
  <property fmtid="{D5CDD505-2E9C-101B-9397-08002B2CF9AE}" pid="4" name="LastSaved">
    <vt:filetime>2016-05-20T00:00:00Z</vt:filetime>
  </property>
</Properties>
</file>