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D3" w:rsidRPr="008E39C6" w:rsidRDefault="002E4000" w:rsidP="00EC0E56">
      <w:pPr>
        <w:spacing w:before="120" w:after="120"/>
        <w:jc w:val="both"/>
        <w:rPr>
          <w:b/>
          <w:color w:val="C00000"/>
          <w:sz w:val="20"/>
          <w:szCs w:val="20"/>
        </w:rPr>
      </w:pPr>
      <w:r w:rsidRPr="008E39C6">
        <w:rPr>
          <w:b/>
          <w:color w:val="C00000"/>
          <w:sz w:val="20"/>
          <w:szCs w:val="20"/>
        </w:rPr>
        <w:t>Plan</w:t>
      </w:r>
    </w:p>
    <w:p w:rsidR="002E4000" w:rsidRPr="008E39C6" w:rsidRDefault="002E4000" w:rsidP="00EC0E56">
      <w:pPr>
        <w:spacing w:before="120" w:after="120"/>
        <w:jc w:val="both"/>
        <w:rPr>
          <w:sz w:val="20"/>
          <w:szCs w:val="20"/>
        </w:rPr>
      </w:pPr>
      <w:r w:rsidRPr="008E39C6">
        <w:rPr>
          <w:sz w:val="20"/>
          <w:szCs w:val="20"/>
        </w:rPr>
        <w:t xml:space="preserve">Every site should be organised so that pedestrians and plant can </w:t>
      </w:r>
      <w:proofErr w:type="spellStart"/>
      <w:r w:rsidRPr="008E39C6">
        <w:rPr>
          <w:sz w:val="20"/>
          <w:szCs w:val="20"/>
        </w:rPr>
        <w:t>manoeuvre</w:t>
      </w:r>
      <w:proofErr w:type="spellEnd"/>
      <w:r w:rsidRPr="008E39C6">
        <w:rPr>
          <w:sz w:val="20"/>
          <w:szCs w:val="20"/>
        </w:rPr>
        <w:t xml:space="preserve"> safely. Traffic Management </w:t>
      </w:r>
      <w:r w:rsidR="00F0590D">
        <w:rPr>
          <w:sz w:val="20"/>
          <w:szCs w:val="20"/>
        </w:rPr>
        <w:t xml:space="preserve">routes </w:t>
      </w:r>
      <w:r w:rsidRPr="008E39C6">
        <w:rPr>
          <w:sz w:val="20"/>
          <w:szCs w:val="20"/>
        </w:rPr>
        <w:t>should be suitable for the people and item of plant</w:t>
      </w:r>
      <w:r w:rsidR="00356384">
        <w:rPr>
          <w:sz w:val="20"/>
          <w:szCs w:val="20"/>
        </w:rPr>
        <w:t xml:space="preserve"> </w:t>
      </w:r>
      <w:r w:rsidRPr="008E39C6">
        <w:rPr>
          <w:sz w:val="20"/>
          <w:szCs w:val="20"/>
        </w:rPr>
        <w:t>using them. Where plant and pedestrians use the same traffic route, where possible there should be physical segregation of pedestrians from plant by the use of barriers as well as implementation of normal visual or audible warning materials.</w:t>
      </w:r>
    </w:p>
    <w:p w:rsidR="002E4000" w:rsidRPr="008E39C6" w:rsidRDefault="002E4000" w:rsidP="002E4000">
      <w:pPr>
        <w:spacing w:before="120" w:after="120"/>
        <w:jc w:val="both"/>
        <w:rPr>
          <w:b/>
          <w:color w:val="C00000"/>
          <w:sz w:val="20"/>
          <w:szCs w:val="20"/>
        </w:rPr>
      </w:pPr>
      <w:r w:rsidRPr="008E39C6">
        <w:rPr>
          <w:b/>
          <w:color w:val="C00000"/>
          <w:sz w:val="20"/>
          <w:szCs w:val="20"/>
        </w:rPr>
        <w:t xml:space="preserve">Risk Assessment </w:t>
      </w:r>
    </w:p>
    <w:p w:rsidR="002E4000" w:rsidRPr="008E39C6" w:rsidRDefault="002E4000" w:rsidP="002E4000">
      <w:pPr>
        <w:spacing w:before="120" w:after="120"/>
        <w:jc w:val="both"/>
        <w:rPr>
          <w:sz w:val="20"/>
          <w:szCs w:val="20"/>
        </w:rPr>
      </w:pPr>
      <w:r w:rsidRPr="008E39C6">
        <w:rPr>
          <w:sz w:val="20"/>
          <w:szCs w:val="20"/>
        </w:rPr>
        <w:t>Prior to the installation of any t</w:t>
      </w:r>
      <w:r w:rsidR="00F0590D">
        <w:rPr>
          <w:sz w:val="20"/>
          <w:szCs w:val="20"/>
        </w:rPr>
        <w:t>raffic management system, Site Management must complete a Risk Assessment</w:t>
      </w:r>
      <w:r w:rsidRPr="008E39C6">
        <w:rPr>
          <w:sz w:val="20"/>
          <w:szCs w:val="20"/>
        </w:rPr>
        <w:t>. Whilst undertaking the Risk Assessment</w:t>
      </w:r>
      <w:r w:rsidR="00F0590D">
        <w:rPr>
          <w:sz w:val="20"/>
          <w:szCs w:val="20"/>
        </w:rPr>
        <w:t>,</w:t>
      </w:r>
      <w:r w:rsidRPr="008E39C6">
        <w:rPr>
          <w:sz w:val="20"/>
          <w:szCs w:val="20"/>
        </w:rPr>
        <w:t xml:space="preserve"> the protection of pedestrians </w:t>
      </w:r>
      <w:proofErr w:type="gramStart"/>
      <w:r w:rsidRPr="008E39C6">
        <w:rPr>
          <w:sz w:val="20"/>
          <w:szCs w:val="20"/>
        </w:rPr>
        <w:t>mus</w:t>
      </w:r>
      <w:r w:rsidR="00DE295F">
        <w:rPr>
          <w:sz w:val="20"/>
          <w:szCs w:val="20"/>
        </w:rPr>
        <w:t>t be taken</w:t>
      </w:r>
      <w:proofErr w:type="gramEnd"/>
      <w:r w:rsidR="00DE295F">
        <w:rPr>
          <w:sz w:val="20"/>
          <w:szCs w:val="20"/>
        </w:rPr>
        <w:t xml:space="preserve"> into consideration. </w:t>
      </w:r>
      <w:r w:rsidRPr="008E39C6">
        <w:rPr>
          <w:sz w:val="20"/>
          <w:szCs w:val="20"/>
        </w:rPr>
        <w:t xml:space="preserve">The contents of the Risk Assessment and Safe System of Work </w:t>
      </w:r>
      <w:proofErr w:type="gramStart"/>
      <w:r w:rsidRPr="008E39C6">
        <w:rPr>
          <w:sz w:val="20"/>
          <w:szCs w:val="20"/>
        </w:rPr>
        <w:t>must be communicated</w:t>
      </w:r>
      <w:proofErr w:type="gramEnd"/>
      <w:r w:rsidRPr="008E39C6">
        <w:rPr>
          <w:sz w:val="20"/>
          <w:szCs w:val="20"/>
        </w:rPr>
        <w:t xml:space="preserve"> to all personnel during the site induction.</w:t>
      </w:r>
    </w:p>
    <w:p w:rsidR="002E4000" w:rsidRPr="008E39C6" w:rsidRDefault="002E4000" w:rsidP="002E4000">
      <w:pPr>
        <w:spacing w:before="120" w:after="120"/>
        <w:jc w:val="both"/>
        <w:rPr>
          <w:sz w:val="20"/>
          <w:szCs w:val="20"/>
        </w:rPr>
      </w:pPr>
      <w:r w:rsidRPr="008E39C6">
        <w:rPr>
          <w:sz w:val="20"/>
          <w:szCs w:val="20"/>
        </w:rPr>
        <w:t xml:space="preserve">The Risk Assessment must be site specific and should address the risks from all work activities involving </w:t>
      </w:r>
      <w:bookmarkStart w:id="0" w:name="_GoBack"/>
      <w:r w:rsidRPr="008E39C6">
        <w:rPr>
          <w:sz w:val="20"/>
          <w:szCs w:val="20"/>
        </w:rPr>
        <w:t>transport</w:t>
      </w:r>
      <w:r w:rsidR="00F0590D">
        <w:rPr>
          <w:sz w:val="20"/>
          <w:szCs w:val="20"/>
        </w:rPr>
        <w:t xml:space="preserve"> and mobile plant</w:t>
      </w:r>
      <w:r w:rsidRPr="008E39C6">
        <w:rPr>
          <w:sz w:val="20"/>
          <w:szCs w:val="20"/>
        </w:rPr>
        <w:t xml:space="preserve">, e.g. driving, loading, parking and maintenance, and assess the impact of these </w:t>
      </w:r>
      <w:bookmarkEnd w:id="0"/>
      <w:r w:rsidRPr="008E39C6">
        <w:rPr>
          <w:sz w:val="20"/>
          <w:szCs w:val="20"/>
        </w:rPr>
        <w:t xml:space="preserve">activities on all personnel who may be on site, including employees, contractors, </w:t>
      </w:r>
      <w:proofErr w:type="spellStart"/>
      <w:r w:rsidRPr="008E39C6">
        <w:rPr>
          <w:sz w:val="20"/>
          <w:szCs w:val="20"/>
        </w:rPr>
        <w:t>hauliers</w:t>
      </w:r>
      <w:proofErr w:type="spellEnd"/>
      <w:r w:rsidRPr="008E39C6">
        <w:rPr>
          <w:sz w:val="20"/>
          <w:szCs w:val="20"/>
        </w:rPr>
        <w:t>, visitors and members of the public.</w:t>
      </w:r>
    </w:p>
    <w:p w:rsidR="002E4000" w:rsidRPr="008E39C6" w:rsidRDefault="002E4000" w:rsidP="00EC0E56">
      <w:pPr>
        <w:spacing w:before="120" w:after="120"/>
        <w:jc w:val="both"/>
        <w:rPr>
          <w:b/>
          <w:color w:val="C00000"/>
          <w:sz w:val="20"/>
          <w:szCs w:val="20"/>
        </w:rPr>
      </w:pPr>
      <w:r w:rsidRPr="008E39C6">
        <w:rPr>
          <w:b/>
          <w:color w:val="C00000"/>
          <w:sz w:val="20"/>
          <w:szCs w:val="20"/>
        </w:rPr>
        <w:t xml:space="preserve">Control </w:t>
      </w:r>
    </w:p>
    <w:p w:rsidR="008E39C6" w:rsidRPr="008E39C6" w:rsidRDefault="002E4000" w:rsidP="00EC0E56">
      <w:pPr>
        <w:spacing w:before="120" w:after="120"/>
        <w:jc w:val="both"/>
        <w:rPr>
          <w:sz w:val="20"/>
          <w:szCs w:val="20"/>
        </w:rPr>
      </w:pPr>
      <w:r w:rsidRPr="008E39C6">
        <w:rPr>
          <w:sz w:val="20"/>
          <w:szCs w:val="20"/>
        </w:rPr>
        <w:t>As part of the risk assessment and method statement process</w:t>
      </w:r>
      <w:r w:rsidR="008E39C6" w:rsidRPr="008E39C6">
        <w:rPr>
          <w:sz w:val="20"/>
          <w:szCs w:val="20"/>
        </w:rPr>
        <w:t>,</w:t>
      </w:r>
      <w:r w:rsidRPr="008E39C6">
        <w:rPr>
          <w:sz w:val="20"/>
          <w:szCs w:val="20"/>
        </w:rPr>
        <w:t xml:space="preserve"> all mobile plant / equipment will be required to have </w:t>
      </w:r>
      <w:r w:rsidR="00130E55">
        <w:rPr>
          <w:sz w:val="20"/>
          <w:szCs w:val="20"/>
        </w:rPr>
        <w:t xml:space="preserve">exclusion </w:t>
      </w:r>
      <w:r w:rsidRPr="008E39C6">
        <w:rPr>
          <w:sz w:val="20"/>
          <w:szCs w:val="20"/>
        </w:rPr>
        <w:t xml:space="preserve">zones </w:t>
      </w:r>
      <w:r w:rsidR="008E39C6" w:rsidRPr="008E39C6">
        <w:rPr>
          <w:sz w:val="20"/>
          <w:szCs w:val="20"/>
        </w:rPr>
        <w:t xml:space="preserve">identified. </w:t>
      </w:r>
      <w:proofErr w:type="gramStart"/>
      <w:r w:rsidR="008E39C6" w:rsidRPr="008E39C6">
        <w:rPr>
          <w:sz w:val="20"/>
          <w:szCs w:val="20"/>
        </w:rPr>
        <w:t xml:space="preserve">BCE have classified the </w:t>
      </w:r>
      <w:r w:rsidR="00130E55">
        <w:rPr>
          <w:sz w:val="20"/>
          <w:szCs w:val="20"/>
        </w:rPr>
        <w:t xml:space="preserve">exclusion </w:t>
      </w:r>
      <w:r w:rsidR="008E39C6" w:rsidRPr="008E39C6">
        <w:rPr>
          <w:sz w:val="20"/>
          <w:szCs w:val="20"/>
        </w:rPr>
        <w:t xml:space="preserve">zones on level of risk </w:t>
      </w:r>
      <w:r w:rsidR="00F0590D">
        <w:rPr>
          <w:sz w:val="20"/>
          <w:szCs w:val="20"/>
        </w:rPr>
        <w:t xml:space="preserve">and </w:t>
      </w:r>
      <w:r w:rsidR="008E39C6" w:rsidRPr="008E39C6">
        <w:rPr>
          <w:sz w:val="20"/>
          <w:szCs w:val="20"/>
        </w:rPr>
        <w:t xml:space="preserve">have </w:t>
      </w:r>
      <w:proofErr w:type="spellStart"/>
      <w:r w:rsidR="008E39C6" w:rsidRPr="008E39C6">
        <w:rPr>
          <w:sz w:val="20"/>
          <w:szCs w:val="20"/>
        </w:rPr>
        <w:t>coloured</w:t>
      </w:r>
      <w:proofErr w:type="spellEnd"/>
      <w:r w:rsidR="008E39C6" w:rsidRPr="008E39C6">
        <w:rPr>
          <w:sz w:val="20"/>
          <w:szCs w:val="20"/>
        </w:rPr>
        <w:t xml:space="preserve"> coded them in accordance with industry best practice.</w:t>
      </w:r>
      <w:proofErr w:type="gramEnd"/>
      <w:r w:rsidR="008E39C6" w:rsidRPr="008E39C6">
        <w:rPr>
          <w:sz w:val="20"/>
          <w:szCs w:val="20"/>
        </w:rPr>
        <w:t xml:space="preserve"> </w:t>
      </w:r>
    </w:p>
    <w:p w:rsidR="008E39C6" w:rsidRDefault="008E39C6" w:rsidP="008E39C6">
      <w:pPr>
        <w:spacing w:before="120" w:after="120"/>
        <w:jc w:val="both"/>
        <w:rPr>
          <w:sz w:val="20"/>
          <w:szCs w:val="20"/>
          <w:lang w:val="en-GB"/>
        </w:rPr>
      </w:pPr>
      <w:r w:rsidRPr="008E39C6">
        <w:rPr>
          <w:sz w:val="20"/>
          <w:szCs w:val="20"/>
          <w:lang w:val="en-GB"/>
        </w:rPr>
        <w:t xml:space="preserve">Details of the People, Vehicle and Plant Interface Zones </w:t>
      </w:r>
      <w:proofErr w:type="gramStart"/>
      <w:r w:rsidRPr="008E39C6">
        <w:rPr>
          <w:sz w:val="20"/>
          <w:szCs w:val="20"/>
          <w:lang w:val="en-GB"/>
        </w:rPr>
        <w:t>must be identified</w:t>
      </w:r>
      <w:proofErr w:type="gramEnd"/>
      <w:r w:rsidRPr="008E39C6">
        <w:rPr>
          <w:sz w:val="20"/>
          <w:szCs w:val="20"/>
          <w:lang w:val="en-GB"/>
        </w:rPr>
        <w:t xml:space="preserve"> in the Risk Assessment &amp; Method Statement and all of the work teams must be briefed on </w:t>
      </w:r>
      <w:r w:rsidR="00130E55">
        <w:rPr>
          <w:sz w:val="20"/>
          <w:szCs w:val="20"/>
          <w:lang w:val="en-GB"/>
        </w:rPr>
        <w:t xml:space="preserve">the </w:t>
      </w:r>
      <w:r w:rsidRPr="008E39C6">
        <w:rPr>
          <w:sz w:val="20"/>
          <w:szCs w:val="20"/>
          <w:lang w:val="en-GB"/>
        </w:rPr>
        <w:t>exclusion zones and the safe system of entry into the zones</w:t>
      </w:r>
    </w:p>
    <w:p w:rsidR="00486511" w:rsidRPr="00486511" w:rsidRDefault="00486511" w:rsidP="00486511">
      <w:pPr>
        <w:spacing w:before="120" w:after="120"/>
        <w:jc w:val="both"/>
        <w:rPr>
          <w:color w:val="FFFF00"/>
          <w:sz w:val="20"/>
          <w:szCs w:val="20"/>
          <w:lang w:val="en-GB"/>
        </w:rPr>
      </w:pPr>
      <w:r w:rsidRPr="00486511">
        <w:rPr>
          <w:b/>
          <w:bCs/>
          <w:color w:val="FFFF00"/>
          <w:sz w:val="20"/>
          <w:szCs w:val="20"/>
          <w:lang w:val="en-GB"/>
        </w:rPr>
        <w:t>Yellow Zone</w:t>
      </w:r>
    </w:p>
    <w:p w:rsidR="00486511" w:rsidRPr="00486511" w:rsidRDefault="00486511" w:rsidP="00486511">
      <w:pPr>
        <w:spacing w:before="120" w:after="120"/>
        <w:jc w:val="both"/>
        <w:rPr>
          <w:sz w:val="20"/>
          <w:szCs w:val="20"/>
          <w:lang w:val="en-GB"/>
        </w:rPr>
      </w:pPr>
      <w:r w:rsidRPr="00486511">
        <w:rPr>
          <w:noProof/>
          <w:lang w:val="en-GB" w:eastAsia="en-GB"/>
        </w:rPr>
        <w:drawing>
          <wp:anchor distT="0" distB="0" distL="114300" distR="114300" simplePos="0" relativeHeight="251660288" behindDoc="0" locked="0" layoutInCell="1" allowOverlap="1">
            <wp:simplePos x="0" y="0"/>
            <wp:positionH relativeFrom="column">
              <wp:posOffset>4139565</wp:posOffset>
            </wp:positionH>
            <wp:positionV relativeFrom="paragraph">
              <wp:posOffset>59605</wp:posOffset>
            </wp:positionV>
            <wp:extent cx="2516400" cy="1180800"/>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11808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GB"/>
        </w:rPr>
        <w:t xml:space="preserve">The </w:t>
      </w:r>
      <w:r w:rsidR="00F0590D" w:rsidRPr="00486511">
        <w:rPr>
          <w:sz w:val="20"/>
          <w:szCs w:val="20"/>
          <w:lang w:val="en-GB"/>
        </w:rPr>
        <w:t xml:space="preserve">Banksman </w:t>
      </w:r>
      <w:r w:rsidRPr="00486511">
        <w:rPr>
          <w:sz w:val="20"/>
          <w:szCs w:val="20"/>
          <w:lang w:val="en-GB"/>
        </w:rPr>
        <w:t>must remain within this zone to be able</w:t>
      </w:r>
      <w:r>
        <w:rPr>
          <w:sz w:val="20"/>
          <w:szCs w:val="20"/>
          <w:lang w:val="en-GB"/>
        </w:rPr>
        <w:t xml:space="preserve"> to direct the plant operator. </w:t>
      </w:r>
      <w:r w:rsidRPr="00486511">
        <w:rPr>
          <w:sz w:val="20"/>
          <w:szCs w:val="20"/>
          <w:lang w:val="en-GB"/>
        </w:rPr>
        <w:t>All personnel approaching operating plant must do so from this zone to gain visual contact with the plant operator and authorisation from the before Banksman entering Plant Interface Zones.</w:t>
      </w:r>
    </w:p>
    <w:p w:rsidR="00486511" w:rsidRPr="00486511" w:rsidRDefault="00486511" w:rsidP="00486511">
      <w:pPr>
        <w:spacing w:before="120" w:after="120"/>
        <w:jc w:val="both"/>
        <w:rPr>
          <w:color w:val="FFC000"/>
          <w:sz w:val="20"/>
          <w:szCs w:val="20"/>
          <w:lang w:val="en-GB"/>
        </w:rPr>
      </w:pPr>
      <w:r w:rsidRPr="00486511">
        <w:rPr>
          <w:b/>
          <w:bCs/>
          <w:color w:val="FFC000"/>
          <w:sz w:val="20"/>
          <w:szCs w:val="20"/>
          <w:lang w:val="en-GB"/>
        </w:rPr>
        <w:t>Amber Zone</w:t>
      </w:r>
    </w:p>
    <w:p w:rsidR="00486511" w:rsidRPr="00486511" w:rsidRDefault="00486511" w:rsidP="00486511">
      <w:pPr>
        <w:spacing w:before="120" w:after="120"/>
        <w:jc w:val="both"/>
        <w:rPr>
          <w:sz w:val="20"/>
          <w:szCs w:val="20"/>
          <w:lang w:val="en-GB"/>
        </w:rPr>
      </w:pPr>
      <w:r w:rsidRPr="00486511">
        <w:rPr>
          <w:noProof/>
          <w:sz w:val="18"/>
          <w:szCs w:val="18"/>
          <w:lang w:val="en-GB" w:eastAsia="en-GB"/>
        </w:rPr>
        <w:drawing>
          <wp:anchor distT="0" distB="0" distL="114300" distR="114300" simplePos="0" relativeHeight="251662336" behindDoc="0" locked="0" layoutInCell="1" allowOverlap="1" wp14:anchorId="43F603B2" wp14:editId="4FF8A24C">
            <wp:simplePos x="0" y="0"/>
            <wp:positionH relativeFrom="column">
              <wp:posOffset>4202387</wp:posOffset>
            </wp:positionH>
            <wp:positionV relativeFrom="paragraph">
              <wp:posOffset>405423</wp:posOffset>
            </wp:positionV>
            <wp:extent cx="2516400" cy="1281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1281600"/>
                    </a:xfrm>
                    <a:prstGeom prst="rect">
                      <a:avLst/>
                    </a:prstGeom>
                  </pic:spPr>
                </pic:pic>
              </a:graphicData>
            </a:graphic>
            <wp14:sizeRelH relativeFrom="margin">
              <wp14:pctWidth>0</wp14:pctWidth>
            </wp14:sizeRelH>
            <wp14:sizeRelV relativeFrom="margin">
              <wp14:pctHeight>0</wp14:pctHeight>
            </wp14:sizeRelV>
          </wp:anchor>
        </w:drawing>
      </w:r>
      <w:r w:rsidRPr="00486511">
        <w:rPr>
          <w:sz w:val="20"/>
          <w:szCs w:val="20"/>
          <w:lang w:val="en-GB"/>
        </w:rPr>
        <w:t xml:space="preserve">Entry prohibited until </w:t>
      </w:r>
      <w:proofErr w:type="gramStart"/>
      <w:r w:rsidRPr="00486511">
        <w:rPr>
          <w:sz w:val="20"/>
          <w:szCs w:val="20"/>
          <w:lang w:val="en-GB"/>
        </w:rPr>
        <w:t>positive visual contact is confirmed by the plant operator (e.g. thumbs up), authorisation from the Banksman</w:t>
      </w:r>
      <w:r w:rsidR="00356384">
        <w:rPr>
          <w:sz w:val="20"/>
          <w:szCs w:val="20"/>
          <w:lang w:val="en-GB"/>
        </w:rPr>
        <w:t xml:space="preserve"> given</w:t>
      </w:r>
      <w:r w:rsidRPr="00486511">
        <w:rPr>
          <w:sz w:val="20"/>
          <w:szCs w:val="20"/>
          <w:lang w:val="en-GB"/>
        </w:rPr>
        <w:t>, the dipper arm</w:t>
      </w:r>
      <w:proofErr w:type="gramEnd"/>
      <w:r w:rsidRPr="00486511">
        <w:rPr>
          <w:sz w:val="20"/>
          <w:szCs w:val="20"/>
          <w:lang w:val="en-GB"/>
        </w:rPr>
        <w:t xml:space="preserve"> /</w:t>
      </w:r>
      <w:r w:rsidR="00F0590D">
        <w:rPr>
          <w:sz w:val="20"/>
          <w:szCs w:val="20"/>
          <w:lang w:val="en-GB"/>
        </w:rPr>
        <w:t xml:space="preserve"> attachment is</w:t>
      </w:r>
      <w:r w:rsidRPr="00486511">
        <w:rPr>
          <w:sz w:val="20"/>
          <w:szCs w:val="20"/>
          <w:lang w:val="en-GB"/>
        </w:rPr>
        <w:t xml:space="preserve"> grounded, the machine is immobilised using the safety lever and the engine is switched off.</w:t>
      </w:r>
      <w:r w:rsidRPr="00486511">
        <w:rPr>
          <w:noProof/>
          <w:sz w:val="18"/>
          <w:szCs w:val="18"/>
          <w:lang w:val="en-GB" w:eastAsia="en-GB"/>
        </w:rPr>
        <w:t xml:space="preserve"> </w:t>
      </w:r>
    </w:p>
    <w:p w:rsidR="00486511" w:rsidRPr="00486511" w:rsidRDefault="00486511" w:rsidP="00486511">
      <w:pPr>
        <w:spacing w:before="120" w:after="120"/>
        <w:jc w:val="both"/>
        <w:rPr>
          <w:sz w:val="20"/>
          <w:szCs w:val="20"/>
          <w:lang w:val="en-GB"/>
        </w:rPr>
      </w:pPr>
      <w:r w:rsidRPr="00486511">
        <w:rPr>
          <w:sz w:val="20"/>
          <w:szCs w:val="20"/>
          <w:lang w:val="en-GB"/>
        </w:rPr>
        <w:t xml:space="preserve">Where work in the amber zone is unavoidable a robust, task specific, safe system of work must be produced </w:t>
      </w:r>
    </w:p>
    <w:p w:rsidR="00486511" w:rsidRPr="00486511" w:rsidRDefault="00486511" w:rsidP="00486511">
      <w:pPr>
        <w:spacing w:before="120" w:after="120"/>
        <w:jc w:val="both"/>
        <w:rPr>
          <w:color w:val="FF0000"/>
          <w:sz w:val="20"/>
          <w:szCs w:val="20"/>
          <w:lang w:val="en-GB"/>
        </w:rPr>
      </w:pPr>
      <w:r w:rsidRPr="00486511">
        <w:rPr>
          <w:b/>
          <w:bCs/>
          <w:color w:val="FF0000"/>
          <w:sz w:val="20"/>
          <w:szCs w:val="20"/>
          <w:lang w:val="en-GB"/>
        </w:rPr>
        <w:t>Red Zone</w:t>
      </w:r>
    </w:p>
    <w:p w:rsidR="00DE295F" w:rsidRDefault="00486511" w:rsidP="00486511">
      <w:pPr>
        <w:spacing w:before="120" w:after="120"/>
        <w:jc w:val="both"/>
        <w:rPr>
          <w:sz w:val="20"/>
          <w:szCs w:val="20"/>
          <w:lang w:val="en-GB"/>
        </w:rPr>
      </w:pPr>
      <w:r w:rsidRPr="00486511">
        <w:rPr>
          <w:sz w:val="20"/>
          <w:szCs w:val="20"/>
          <w:lang w:val="en-GB"/>
        </w:rPr>
        <w:t xml:space="preserve">Entry prohibited unless the machine is completely isolated, the engine </w:t>
      </w:r>
      <w:proofErr w:type="gramStart"/>
      <w:r w:rsidRPr="00486511">
        <w:rPr>
          <w:sz w:val="20"/>
          <w:szCs w:val="20"/>
          <w:lang w:val="en-GB"/>
        </w:rPr>
        <w:t>is switched off</w:t>
      </w:r>
      <w:proofErr w:type="gramEnd"/>
      <w:r w:rsidRPr="00486511">
        <w:rPr>
          <w:sz w:val="20"/>
          <w:szCs w:val="20"/>
          <w:lang w:val="en-GB"/>
        </w:rPr>
        <w:t xml:space="preserve"> and a specific safe system of work is in place that prevents the machine being operated either inadvertently or deliberately</w:t>
      </w:r>
      <w:r w:rsidR="00356384">
        <w:rPr>
          <w:sz w:val="20"/>
          <w:szCs w:val="20"/>
          <w:lang w:val="en-GB"/>
        </w:rPr>
        <w:t>.</w:t>
      </w:r>
    </w:p>
    <w:p w:rsidR="00DE295F" w:rsidRDefault="00DE295F">
      <w:pPr>
        <w:rPr>
          <w:sz w:val="20"/>
          <w:szCs w:val="20"/>
          <w:lang w:val="en-GB"/>
        </w:rPr>
      </w:pPr>
      <w:r>
        <w:rPr>
          <w:sz w:val="20"/>
          <w:szCs w:val="20"/>
          <w:lang w:val="en-GB"/>
        </w:rPr>
        <w:br w:type="page"/>
      </w:r>
    </w:p>
    <w:p w:rsidR="008E39C6" w:rsidRPr="008E39C6" w:rsidRDefault="008E39C6" w:rsidP="008E39C6">
      <w:pPr>
        <w:spacing w:before="120" w:after="120"/>
        <w:jc w:val="both"/>
        <w:rPr>
          <w:sz w:val="20"/>
          <w:szCs w:val="20"/>
          <w:lang w:val="en-GB"/>
        </w:rPr>
      </w:pPr>
      <w:r w:rsidRPr="008E39C6">
        <w:rPr>
          <w:sz w:val="20"/>
          <w:szCs w:val="20"/>
          <w:lang w:val="en-GB"/>
        </w:rPr>
        <w:lastRenderedPageBreak/>
        <w:t>The following table identify tasks that require working within the amber and red zones. A robust risk assessment and supporting method statement must be in place and communicated to all involved in the task.</w:t>
      </w:r>
    </w:p>
    <w:tbl>
      <w:tblPr>
        <w:tblW w:w="0" w:type="auto"/>
        <w:jc w:val="center"/>
        <w:tblLook w:val="04A0" w:firstRow="1" w:lastRow="0" w:firstColumn="1" w:lastColumn="0" w:noHBand="0" w:noVBand="1"/>
      </w:tblPr>
      <w:tblGrid>
        <w:gridCol w:w="2593"/>
        <w:gridCol w:w="2460"/>
      </w:tblGrid>
      <w:tr w:rsidR="008E39C6" w:rsidRPr="008E39C6" w:rsidTr="008E39C6">
        <w:trPr>
          <w:trHeight w:hRule="exact" w:val="372"/>
          <w:jc w:val="center"/>
        </w:trPr>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Drainage</w:t>
            </w:r>
          </w:p>
        </w:tc>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Archaeology</w:t>
            </w:r>
          </w:p>
        </w:tc>
      </w:tr>
      <w:tr w:rsidR="008E39C6" w:rsidRPr="008E39C6" w:rsidTr="008E39C6">
        <w:trPr>
          <w:trHeight w:hRule="exact" w:val="420"/>
          <w:jc w:val="center"/>
        </w:trPr>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Piling</w:t>
            </w:r>
          </w:p>
        </w:tc>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Earth moving</w:t>
            </w:r>
          </w:p>
        </w:tc>
      </w:tr>
      <w:tr w:rsidR="008E39C6" w:rsidRPr="008E39C6" w:rsidTr="008E39C6">
        <w:trPr>
          <w:trHeight w:hRule="exact" w:val="425"/>
          <w:jc w:val="center"/>
        </w:trPr>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Bearing tests</w:t>
            </w:r>
          </w:p>
        </w:tc>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Lifting operations</w:t>
            </w:r>
          </w:p>
        </w:tc>
      </w:tr>
      <w:tr w:rsidR="008E39C6" w:rsidRPr="008E39C6" w:rsidTr="008E39C6">
        <w:trPr>
          <w:trHeight w:hRule="exact" w:val="417"/>
          <w:jc w:val="center"/>
        </w:trPr>
        <w:tc>
          <w:tcPr>
            <w:tcW w:w="0" w:type="auto"/>
          </w:tcPr>
          <w:p w:rsidR="008E39C6" w:rsidRPr="008E39C6" w:rsidRDefault="008E39C6" w:rsidP="008E39C6">
            <w:pPr>
              <w:numPr>
                <w:ilvl w:val="0"/>
                <w:numId w:val="28"/>
              </w:numPr>
              <w:jc w:val="both"/>
              <w:rPr>
                <w:sz w:val="20"/>
                <w:szCs w:val="20"/>
                <w:lang w:val="en-GB"/>
              </w:rPr>
            </w:pPr>
            <w:r w:rsidRPr="008E39C6">
              <w:rPr>
                <w:sz w:val="20"/>
                <w:szCs w:val="20"/>
                <w:lang w:val="en-GB"/>
              </w:rPr>
              <w:t>Plant maintenance</w:t>
            </w:r>
          </w:p>
        </w:tc>
        <w:tc>
          <w:tcPr>
            <w:tcW w:w="0" w:type="auto"/>
          </w:tcPr>
          <w:p w:rsidR="008E39C6" w:rsidRPr="00CE75CE" w:rsidRDefault="00CE75CE" w:rsidP="00CE75CE">
            <w:pPr>
              <w:pStyle w:val="ListParagraph"/>
              <w:numPr>
                <w:ilvl w:val="0"/>
                <w:numId w:val="28"/>
              </w:numPr>
              <w:jc w:val="both"/>
              <w:rPr>
                <w:sz w:val="20"/>
                <w:szCs w:val="20"/>
                <w:lang w:val="en-GB"/>
              </w:rPr>
            </w:pPr>
            <w:r>
              <w:rPr>
                <w:sz w:val="20"/>
                <w:szCs w:val="20"/>
                <w:lang w:val="en-GB"/>
              </w:rPr>
              <w:t>Kerb laying</w:t>
            </w:r>
          </w:p>
        </w:tc>
      </w:tr>
    </w:tbl>
    <w:p w:rsidR="008E39C6" w:rsidRPr="008E39C6" w:rsidRDefault="008E39C6" w:rsidP="008E39C6">
      <w:pPr>
        <w:spacing w:before="120" w:after="120"/>
        <w:jc w:val="both"/>
        <w:rPr>
          <w:b/>
          <w:bCs/>
          <w:color w:val="FF0000"/>
          <w:sz w:val="20"/>
          <w:szCs w:val="20"/>
          <w:lang w:val="en-GB"/>
        </w:rPr>
      </w:pPr>
      <w:r w:rsidRPr="008E39C6">
        <w:rPr>
          <w:b/>
          <w:bCs/>
          <w:color w:val="FF0000"/>
          <w:sz w:val="20"/>
          <w:szCs w:val="20"/>
          <w:lang w:val="en-GB"/>
        </w:rPr>
        <w:t xml:space="preserve">To work within the amber and red zone, a safe system of work must ﬁrstly be in place: </w:t>
      </w:r>
    </w:p>
    <w:p w:rsidR="008E39C6" w:rsidRPr="008E39C6" w:rsidRDefault="008E39C6" w:rsidP="008E39C6">
      <w:pPr>
        <w:pStyle w:val="ListParagraph"/>
        <w:numPr>
          <w:ilvl w:val="0"/>
          <w:numId w:val="29"/>
        </w:numPr>
        <w:spacing w:before="120" w:after="120"/>
        <w:jc w:val="both"/>
        <w:rPr>
          <w:sz w:val="20"/>
          <w:szCs w:val="20"/>
        </w:rPr>
      </w:pPr>
      <w:r w:rsidRPr="008E39C6">
        <w:rPr>
          <w:sz w:val="20"/>
          <w:szCs w:val="20"/>
        </w:rPr>
        <w:t>Ensure the Risk Assessment and Method Statement fully covers the wor</w:t>
      </w:r>
      <w:r w:rsidR="00486511">
        <w:rPr>
          <w:sz w:val="20"/>
          <w:szCs w:val="20"/>
        </w:rPr>
        <w:t>k involved e.g. laying drainage;</w:t>
      </w:r>
    </w:p>
    <w:p w:rsidR="008E39C6" w:rsidRPr="008E39C6" w:rsidRDefault="008E39C6" w:rsidP="008E39C6">
      <w:pPr>
        <w:pStyle w:val="ListParagraph"/>
        <w:numPr>
          <w:ilvl w:val="0"/>
          <w:numId w:val="29"/>
        </w:numPr>
        <w:spacing w:before="120" w:after="120"/>
        <w:jc w:val="both"/>
        <w:rPr>
          <w:sz w:val="20"/>
          <w:szCs w:val="20"/>
        </w:rPr>
      </w:pPr>
      <w:r w:rsidRPr="008E39C6">
        <w:rPr>
          <w:sz w:val="20"/>
          <w:szCs w:val="20"/>
        </w:rPr>
        <w:t>Have a full plan of when a</w:t>
      </w:r>
      <w:r w:rsidR="00486511">
        <w:rPr>
          <w:sz w:val="20"/>
          <w:szCs w:val="20"/>
        </w:rPr>
        <w:t>nd how to enter and exit safely;</w:t>
      </w:r>
    </w:p>
    <w:p w:rsidR="008E39C6" w:rsidRPr="008E39C6" w:rsidRDefault="008E39C6" w:rsidP="008E39C6">
      <w:pPr>
        <w:pStyle w:val="ListParagraph"/>
        <w:numPr>
          <w:ilvl w:val="0"/>
          <w:numId w:val="29"/>
        </w:numPr>
        <w:spacing w:before="120" w:after="120"/>
        <w:jc w:val="both"/>
        <w:rPr>
          <w:sz w:val="20"/>
          <w:szCs w:val="20"/>
        </w:rPr>
      </w:pPr>
      <w:r w:rsidRPr="008E39C6">
        <w:rPr>
          <w:sz w:val="20"/>
          <w:szCs w:val="20"/>
        </w:rPr>
        <w:t>Only the person(s) who need to reach the machine bucket or lifting point are</w:t>
      </w:r>
      <w:r w:rsidR="00486511">
        <w:rPr>
          <w:sz w:val="20"/>
          <w:szCs w:val="20"/>
        </w:rPr>
        <w:t>as, may enter a restricted area;</w:t>
      </w:r>
    </w:p>
    <w:p w:rsidR="008E39C6" w:rsidRPr="008E39C6" w:rsidRDefault="008E39C6" w:rsidP="008E39C6">
      <w:pPr>
        <w:pStyle w:val="ListParagraph"/>
        <w:numPr>
          <w:ilvl w:val="0"/>
          <w:numId w:val="29"/>
        </w:numPr>
        <w:spacing w:before="120" w:after="120"/>
        <w:jc w:val="both"/>
        <w:rPr>
          <w:sz w:val="20"/>
          <w:szCs w:val="20"/>
        </w:rPr>
      </w:pPr>
      <w:r w:rsidRPr="008E39C6">
        <w:rPr>
          <w:sz w:val="20"/>
          <w:szCs w:val="20"/>
        </w:rPr>
        <w:t>These person(s) entering must be:</w:t>
      </w:r>
    </w:p>
    <w:p w:rsidR="008E39C6" w:rsidRPr="008E39C6" w:rsidRDefault="008E39C6" w:rsidP="008E39C6">
      <w:pPr>
        <w:pStyle w:val="ListParagraph"/>
        <w:numPr>
          <w:ilvl w:val="0"/>
          <w:numId w:val="30"/>
        </w:numPr>
        <w:spacing w:before="120" w:after="120"/>
        <w:jc w:val="both"/>
        <w:rPr>
          <w:sz w:val="20"/>
          <w:szCs w:val="20"/>
        </w:rPr>
      </w:pPr>
      <w:r w:rsidRPr="008E39C6">
        <w:rPr>
          <w:sz w:val="20"/>
          <w:szCs w:val="20"/>
        </w:rPr>
        <w:t xml:space="preserve">Experienced </w:t>
      </w:r>
      <w:r w:rsidR="00486511">
        <w:rPr>
          <w:sz w:val="20"/>
          <w:szCs w:val="20"/>
        </w:rPr>
        <w:t>in working alongside excavators;</w:t>
      </w:r>
    </w:p>
    <w:p w:rsidR="008E39C6" w:rsidRPr="008E39C6" w:rsidRDefault="008E39C6" w:rsidP="008E39C6">
      <w:pPr>
        <w:pStyle w:val="ListParagraph"/>
        <w:numPr>
          <w:ilvl w:val="0"/>
          <w:numId w:val="30"/>
        </w:numPr>
        <w:spacing w:before="120" w:after="120"/>
        <w:jc w:val="both"/>
        <w:rPr>
          <w:sz w:val="20"/>
          <w:szCs w:val="20"/>
        </w:rPr>
      </w:pPr>
      <w:r w:rsidRPr="008E39C6">
        <w:rPr>
          <w:sz w:val="20"/>
          <w:szCs w:val="20"/>
        </w:rPr>
        <w:t>Fully briefed on worki</w:t>
      </w:r>
      <w:r w:rsidR="00486511">
        <w:rPr>
          <w:sz w:val="20"/>
          <w:szCs w:val="20"/>
        </w:rPr>
        <w:t>ng within a restricted red zone;</w:t>
      </w:r>
    </w:p>
    <w:p w:rsidR="008E39C6" w:rsidRPr="008E39C6" w:rsidRDefault="008E39C6" w:rsidP="008E39C6">
      <w:pPr>
        <w:pStyle w:val="ListParagraph"/>
        <w:numPr>
          <w:ilvl w:val="0"/>
          <w:numId w:val="30"/>
        </w:numPr>
        <w:spacing w:before="120" w:after="120"/>
        <w:jc w:val="both"/>
        <w:rPr>
          <w:sz w:val="20"/>
          <w:szCs w:val="20"/>
        </w:rPr>
      </w:pPr>
      <w:r w:rsidRPr="008E39C6">
        <w:rPr>
          <w:sz w:val="20"/>
          <w:szCs w:val="20"/>
        </w:rPr>
        <w:t>Informed on the speciﬁc risks involve</w:t>
      </w:r>
      <w:r w:rsidR="00486511">
        <w:rPr>
          <w:sz w:val="20"/>
          <w:szCs w:val="20"/>
        </w:rPr>
        <w:t>d in working in close proximity;</w:t>
      </w:r>
    </w:p>
    <w:p w:rsidR="008E39C6" w:rsidRPr="008E39C6" w:rsidRDefault="008E39C6" w:rsidP="008E39C6">
      <w:pPr>
        <w:pStyle w:val="ListParagraph"/>
        <w:numPr>
          <w:ilvl w:val="0"/>
          <w:numId w:val="30"/>
        </w:numPr>
        <w:spacing w:before="120" w:after="120"/>
        <w:jc w:val="both"/>
        <w:rPr>
          <w:sz w:val="20"/>
          <w:szCs w:val="20"/>
        </w:rPr>
      </w:pPr>
      <w:r w:rsidRPr="008E39C6">
        <w:rPr>
          <w:sz w:val="20"/>
          <w:szCs w:val="20"/>
        </w:rPr>
        <w:t>The operator must be able to see the person(s) working in the r</w:t>
      </w:r>
      <w:r w:rsidR="00486511">
        <w:rPr>
          <w:sz w:val="20"/>
          <w:szCs w:val="20"/>
        </w:rPr>
        <w:t>estricted red zone at all times;</w:t>
      </w:r>
    </w:p>
    <w:p w:rsidR="008E39C6" w:rsidRPr="008E39C6" w:rsidRDefault="008E39C6" w:rsidP="008E39C6">
      <w:pPr>
        <w:pStyle w:val="ListParagraph"/>
        <w:numPr>
          <w:ilvl w:val="0"/>
          <w:numId w:val="30"/>
        </w:numPr>
        <w:spacing w:before="120" w:after="120"/>
        <w:jc w:val="both"/>
        <w:rPr>
          <w:sz w:val="20"/>
          <w:szCs w:val="20"/>
        </w:rPr>
      </w:pPr>
      <w:r w:rsidRPr="008E39C6">
        <w:rPr>
          <w:sz w:val="20"/>
          <w:szCs w:val="20"/>
        </w:rPr>
        <w:t>Agree on the means of communication to be used e.g. radios, verbal or hand signals.</w:t>
      </w:r>
    </w:p>
    <w:p w:rsidR="008E39C6" w:rsidRPr="008E39C6" w:rsidRDefault="008E39C6" w:rsidP="008E39C6">
      <w:pPr>
        <w:spacing w:before="120" w:after="120"/>
        <w:jc w:val="both"/>
        <w:rPr>
          <w:sz w:val="20"/>
          <w:szCs w:val="20"/>
        </w:rPr>
      </w:pPr>
      <w:r w:rsidRPr="008E39C6">
        <w:rPr>
          <w:sz w:val="20"/>
          <w:szCs w:val="20"/>
        </w:rPr>
        <w:t>To enter the red zone:</w:t>
      </w:r>
    </w:p>
    <w:p w:rsidR="008E39C6" w:rsidRPr="008E39C6" w:rsidRDefault="008E39C6" w:rsidP="008E39C6">
      <w:pPr>
        <w:pStyle w:val="ListParagraph"/>
        <w:numPr>
          <w:ilvl w:val="0"/>
          <w:numId w:val="31"/>
        </w:numPr>
        <w:spacing w:before="120" w:after="120"/>
        <w:jc w:val="both"/>
        <w:rPr>
          <w:sz w:val="20"/>
          <w:szCs w:val="20"/>
        </w:rPr>
      </w:pPr>
      <w:r w:rsidRPr="008E39C6">
        <w:rPr>
          <w:sz w:val="20"/>
          <w:szCs w:val="20"/>
        </w:rPr>
        <w:t>Mak</w:t>
      </w:r>
      <w:r w:rsidR="00486511">
        <w:rPr>
          <w:sz w:val="20"/>
          <w:szCs w:val="20"/>
        </w:rPr>
        <w:t>e eye contact with the operator;</w:t>
      </w:r>
    </w:p>
    <w:p w:rsidR="008E39C6" w:rsidRPr="008E39C6" w:rsidRDefault="008E39C6" w:rsidP="008E39C6">
      <w:pPr>
        <w:pStyle w:val="ListParagraph"/>
        <w:numPr>
          <w:ilvl w:val="0"/>
          <w:numId w:val="31"/>
        </w:numPr>
        <w:spacing w:before="120" w:after="120"/>
        <w:jc w:val="both"/>
        <w:rPr>
          <w:sz w:val="20"/>
          <w:szCs w:val="20"/>
        </w:rPr>
      </w:pPr>
      <w:r w:rsidRPr="008E39C6">
        <w:rPr>
          <w:sz w:val="20"/>
          <w:szCs w:val="20"/>
        </w:rPr>
        <w:t>Ind</w:t>
      </w:r>
      <w:r w:rsidR="00486511">
        <w:rPr>
          <w:sz w:val="20"/>
          <w:szCs w:val="20"/>
        </w:rPr>
        <w:t>icate that you wish to approach;</w:t>
      </w:r>
    </w:p>
    <w:p w:rsidR="008E39C6" w:rsidRPr="008E39C6" w:rsidRDefault="008E39C6" w:rsidP="008E39C6">
      <w:pPr>
        <w:pStyle w:val="ListParagraph"/>
        <w:numPr>
          <w:ilvl w:val="0"/>
          <w:numId w:val="31"/>
        </w:numPr>
        <w:spacing w:before="120" w:after="120"/>
        <w:jc w:val="both"/>
        <w:rPr>
          <w:sz w:val="20"/>
          <w:szCs w:val="20"/>
        </w:rPr>
      </w:pPr>
      <w:r w:rsidRPr="008E39C6">
        <w:rPr>
          <w:sz w:val="20"/>
          <w:szCs w:val="20"/>
        </w:rPr>
        <w:t>Wait for the operator to ground the excavator’s bucket</w:t>
      </w:r>
      <w:r w:rsidR="00486511">
        <w:rPr>
          <w:sz w:val="20"/>
          <w:szCs w:val="20"/>
        </w:rPr>
        <w:t>/attachment;</w:t>
      </w:r>
    </w:p>
    <w:p w:rsidR="008E39C6" w:rsidRPr="008E39C6" w:rsidRDefault="00486511" w:rsidP="008E39C6">
      <w:pPr>
        <w:pStyle w:val="ListParagraph"/>
        <w:numPr>
          <w:ilvl w:val="0"/>
          <w:numId w:val="31"/>
        </w:numPr>
        <w:spacing w:before="120" w:after="120"/>
        <w:jc w:val="both"/>
        <w:rPr>
          <w:sz w:val="20"/>
          <w:szCs w:val="20"/>
        </w:rPr>
      </w:pPr>
      <w:r w:rsidRPr="00486511">
        <w:rPr>
          <w:rFonts w:eastAsia="Times New Roman" w:cs="Times New Roman"/>
          <w:noProof/>
          <w:sz w:val="20"/>
          <w:szCs w:val="20"/>
          <w:lang w:val="en-GB" w:eastAsia="en-GB"/>
        </w:rPr>
        <w:drawing>
          <wp:anchor distT="0" distB="0" distL="114300" distR="114300" simplePos="0" relativeHeight="251659264" behindDoc="1" locked="0" layoutInCell="1" allowOverlap="1" wp14:anchorId="4292AFDC" wp14:editId="10716D4E">
            <wp:simplePos x="0" y="0"/>
            <wp:positionH relativeFrom="column">
              <wp:posOffset>4668520</wp:posOffset>
            </wp:positionH>
            <wp:positionV relativeFrom="paragraph">
              <wp:posOffset>62865</wp:posOffset>
            </wp:positionV>
            <wp:extent cx="1640205" cy="1226185"/>
            <wp:effectExtent l="0" t="0" r="0" b="0"/>
            <wp:wrapSquare wrapText="bothSides"/>
            <wp:docPr id="6" name="Picture 6" descr="F:\Andy Deas\Thumbs up Breh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dy Deas\Thumbs up Brehen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20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9C6" w:rsidRPr="008E39C6">
        <w:rPr>
          <w:sz w:val="20"/>
          <w:szCs w:val="20"/>
        </w:rPr>
        <w:t xml:space="preserve">Wait for the operator to </w:t>
      </w:r>
      <w:r w:rsidR="00130E55">
        <w:rPr>
          <w:sz w:val="20"/>
          <w:szCs w:val="20"/>
        </w:rPr>
        <w:t xml:space="preserve">isolate the machine </w:t>
      </w:r>
      <w:r>
        <w:rPr>
          <w:sz w:val="20"/>
          <w:szCs w:val="20"/>
        </w:rPr>
        <w:t>and switch the engine off;</w:t>
      </w:r>
    </w:p>
    <w:p w:rsidR="008E39C6" w:rsidRPr="008E39C6" w:rsidRDefault="008E39C6" w:rsidP="008E39C6">
      <w:pPr>
        <w:pStyle w:val="ListParagraph"/>
        <w:numPr>
          <w:ilvl w:val="0"/>
          <w:numId w:val="31"/>
        </w:numPr>
        <w:spacing w:before="120" w:after="120"/>
        <w:jc w:val="both"/>
        <w:rPr>
          <w:sz w:val="20"/>
          <w:szCs w:val="20"/>
        </w:rPr>
      </w:pPr>
      <w:r w:rsidRPr="008E39C6">
        <w:rPr>
          <w:sz w:val="20"/>
          <w:szCs w:val="20"/>
        </w:rPr>
        <w:t xml:space="preserve">Only approach once the operator indicates with a </w:t>
      </w:r>
      <w:r w:rsidR="00486511">
        <w:rPr>
          <w:sz w:val="20"/>
          <w:szCs w:val="20"/>
        </w:rPr>
        <w:t>“</w:t>
      </w:r>
      <w:r w:rsidRPr="008E39C6">
        <w:rPr>
          <w:sz w:val="20"/>
          <w:szCs w:val="20"/>
        </w:rPr>
        <w:t>thumbs-up</w:t>
      </w:r>
      <w:r w:rsidR="00486511">
        <w:rPr>
          <w:sz w:val="20"/>
          <w:szCs w:val="20"/>
        </w:rPr>
        <w:t>” that it is safe to do so;</w:t>
      </w:r>
    </w:p>
    <w:p w:rsidR="008E39C6" w:rsidRPr="008E39C6" w:rsidRDefault="008E39C6" w:rsidP="008E39C6">
      <w:pPr>
        <w:pStyle w:val="ListParagraph"/>
        <w:numPr>
          <w:ilvl w:val="0"/>
          <w:numId w:val="31"/>
        </w:numPr>
        <w:spacing w:before="120" w:after="120"/>
        <w:jc w:val="both"/>
        <w:rPr>
          <w:sz w:val="20"/>
          <w:szCs w:val="20"/>
        </w:rPr>
      </w:pPr>
      <w:r w:rsidRPr="008E39C6">
        <w:rPr>
          <w:sz w:val="20"/>
          <w:szCs w:val="20"/>
        </w:rPr>
        <w:t xml:space="preserve">Only approach through the </w:t>
      </w:r>
      <w:r w:rsidR="00486511">
        <w:rPr>
          <w:sz w:val="20"/>
          <w:szCs w:val="20"/>
        </w:rPr>
        <w:t xml:space="preserve">amber </w:t>
      </w:r>
      <w:r w:rsidR="00DE295F">
        <w:rPr>
          <w:sz w:val="20"/>
          <w:szCs w:val="20"/>
        </w:rPr>
        <w:t>zone;</w:t>
      </w:r>
    </w:p>
    <w:p w:rsidR="008E39C6" w:rsidRPr="008E39C6" w:rsidRDefault="008E39C6" w:rsidP="008E39C6">
      <w:pPr>
        <w:pStyle w:val="ListParagraph"/>
        <w:numPr>
          <w:ilvl w:val="0"/>
          <w:numId w:val="31"/>
        </w:numPr>
        <w:spacing w:before="120" w:after="120"/>
        <w:jc w:val="both"/>
        <w:rPr>
          <w:sz w:val="20"/>
          <w:szCs w:val="20"/>
        </w:rPr>
      </w:pPr>
      <w:r w:rsidRPr="008E39C6">
        <w:rPr>
          <w:sz w:val="20"/>
          <w:szCs w:val="20"/>
        </w:rPr>
        <w:t>Le</w:t>
      </w:r>
      <w:r w:rsidR="00486511">
        <w:rPr>
          <w:sz w:val="20"/>
          <w:szCs w:val="20"/>
        </w:rPr>
        <w:t>ave by the same way you entered;</w:t>
      </w:r>
    </w:p>
    <w:p w:rsidR="008E39C6" w:rsidRDefault="008E39C6" w:rsidP="008E39C6">
      <w:pPr>
        <w:pStyle w:val="ListParagraph"/>
        <w:numPr>
          <w:ilvl w:val="0"/>
          <w:numId w:val="31"/>
        </w:numPr>
        <w:spacing w:before="120" w:after="120"/>
        <w:jc w:val="both"/>
        <w:rPr>
          <w:sz w:val="20"/>
          <w:szCs w:val="20"/>
        </w:rPr>
      </w:pPr>
      <w:r w:rsidRPr="008E39C6">
        <w:rPr>
          <w:sz w:val="20"/>
          <w:szCs w:val="20"/>
        </w:rPr>
        <w:t xml:space="preserve">The </w:t>
      </w:r>
      <w:r w:rsidR="00130E55">
        <w:rPr>
          <w:sz w:val="20"/>
          <w:szCs w:val="20"/>
        </w:rPr>
        <w:t xml:space="preserve">plant </w:t>
      </w:r>
      <w:r w:rsidRPr="008E39C6">
        <w:rPr>
          <w:sz w:val="20"/>
          <w:szCs w:val="20"/>
        </w:rPr>
        <w:t>operator can only move when you are outside the restricted area</w:t>
      </w:r>
      <w:r w:rsidR="00486511">
        <w:rPr>
          <w:sz w:val="20"/>
          <w:szCs w:val="20"/>
        </w:rPr>
        <w:t>.</w:t>
      </w:r>
    </w:p>
    <w:p w:rsidR="00356384" w:rsidRDefault="00130E55" w:rsidP="00356384">
      <w:pPr>
        <w:spacing w:before="120" w:after="120"/>
        <w:jc w:val="both"/>
        <w:rPr>
          <w:b/>
          <w:color w:val="C00000"/>
          <w:sz w:val="20"/>
          <w:szCs w:val="20"/>
        </w:rPr>
      </w:pPr>
      <w:r w:rsidRPr="00130E55">
        <w:rPr>
          <w:rFonts w:eastAsia="Calibri"/>
          <w:noProof/>
          <w:sz w:val="24"/>
          <w:szCs w:val="24"/>
          <w:lang w:val="en-GB" w:eastAsia="en-GB"/>
        </w:rPr>
        <w:drawing>
          <wp:anchor distT="0" distB="0" distL="114300" distR="114300" simplePos="0" relativeHeight="251663360" behindDoc="0" locked="0" layoutInCell="1" allowOverlap="1">
            <wp:simplePos x="0" y="0"/>
            <wp:positionH relativeFrom="column">
              <wp:posOffset>4642564</wp:posOffset>
            </wp:positionH>
            <wp:positionV relativeFrom="paragraph">
              <wp:posOffset>205919</wp:posOffset>
            </wp:positionV>
            <wp:extent cx="1702435" cy="1277620"/>
            <wp:effectExtent l="0" t="0" r="0" b="0"/>
            <wp:wrapSquare wrapText="bothSides"/>
            <wp:docPr id="4" name="Picture 4" descr="C:\Users\a.deas\AppData\Local\Microsoft\Windows\Temporary Internet Files\Content.Outlook\91TCCE6P\20150616_13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s\AppData\Local\Microsoft\Windows\Temporary Internet Files\Content.Outlook\91TCCE6P\20150616_1338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435" cy="1277620"/>
                    </a:xfrm>
                    <a:prstGeom prst="rect">
                      <a:avLst/>
                    </a:prstGeom>
                    <a:noFill/>
                    <a:ln>
                      <a:noFill/>
                    </a:ln>
                  </pic:spPr>
                </pic:pic>
              </a:graphicData>
            </a:graphic>
          </wp:anchor>
        </w:drawing>
      </w:r>
      <w:r w:rsidR="00356384" w:rsidRPr="00356384">
        <w:rPr>
          <w:b/>
          <w:color w:val="C00000"/>
          <w:sz w:val="20"/>
          <w:szCs w:val="20"/>
        </w:rPr>
        <w:t xml:space="preserve">Remember </w:t>
      </w:r>
    </w:p>
    <w:p w:rsidR="00CE75CE" w:rsidRDefault="00356384" w:rsidP="00356384">
      <w:pPr>
        <w:spacing w:before="120" w:after="120"/>
        <w:jc w:val="both"/>
        <w:rPr>
          <w:color w:val="000000" w:themeColor="text1"/>
          <w:sz w:val="20"/>
          <w:szCs w:val="20"/>
        </w:rPr>
      </w:pPr>
      <w:r w:rsidRPr="00CE75CE">
        <w:rPr>
          <w:color w:val="000000" w:themeColor="text1"/>
          <w:sz w:val="20"/>
          <w:szCs w:val="20"/>
        </w:rPr>
        <w:t xml:space="preserve">Do not enter an exclusion zones unless signaled by the </w:t>
      </w:r>
      <w:r w:rsidR="00CE75CE">
        <w:rPr>
          <w:color w:val="000000" w:themeColor="text1"/>
          <w:sz w:val="20"/>
          <w:szCs w:val="20"/>
        </w:rPr>
        <w:t>operator.</w:t>
      </w:r>
    </w:p>
    <w:p w:rsidR="004F6A99" w:rsidRDefault="004F6A99" w:rsidP="00356384">
      <w:pPr>
        <w:spacing w:before="120" w:after="120"/>
        <w:jc w:val="both"/>
        <w:rPr>
          <w:color w:val="000000" w:themeColor="text1"/>
          <w:sz w:val="20"/>
          <w:szCs w:val="20"/>
        </w:rPr>
      </w:pPr>
      <w:r>
        <w:rPr>
          <w:color w:val="000000" w:themeColor="text1"/>
          <w:sz w:val="20"/>
          <w:szCs w:val="20"/>
        </w:rPr>
        <w:t>Plant operators must not operate machine when unauthorized persons are in exclusion zone.</w:t>
      </w:r>
    </w:p>
    <w:p w:rsidR="00CE75CE" w:rsidRPr="00CE75CE" w:rsidRDefault="00CE75CE" w:rsidP="00CE75CE">
      <w:pPr>
        <w:widowControl/>
        <w:spacing w:before="100" w:beforeAutospacing="1" w:after="100" w:afterAutospacing="1"/>
        <w:rPr>
          <w:rFonts w:eastAsia="Times New Roman"/>
          <w:color w:val="000000"/>
          <w:sz w:val="20"/>
          <w:szCs w:val="20"/>
          <w:lang w:val="en-GB" w:eastAsia="en-GB"/>
        </w:rPr>
      </w:pPr>
      <w:r>
        <w:rPr>
          <w:rFonts w:eastAsia="Times New Roman"/>
          <w:color w:val="000000"/>
          <w:sz w:val="20"/>
          <w:szCs w:val="20"/>
          <w:lang w:val="en-GB" w:eastAsia="en-GB"/>
        </w:rPr>
        <w:t>Any</w:t>
      </w:r>
      <w:r w:rsidRPr="00CE75CE">
        <w:rPr>
          <w:rFonts w:eastAsia="Times New Roman"/>
          <w:color w:val="000000"/>
          <w:sz w:val="20"/>
          <w:szCs w:val="20"/>
          <w:lang w:val="en-GB" w:eastAsia="en-GB"/>
        </w:rPr>
        <w:t xml:space="preserve"> task that requires workers to enter zones, e.g. kerb laying, disconnecting</w:t>
      </w:r>
      <w:r>
        <w:rPr>
          <w:rFonts w:eastAsia="Times New Roman"/>
          <w:color w:val="000000"/>
          <w:sz w:val="20"/>
          <w:szCs w:val="20"/>
          <w:lang w:val="en-GB" w:eastAsia="en-GB"/>
        </w:rPr>
        <w:t xml:space="preserve"> </w:t>
      </w:r>
      <w:r w:rsidRPr="00CE75CE">
        <w:rPr>
          <w:rFonts w:eastAsia="Times New Roman"/>
          <w:color w:val="000000"/>
          <w:sz w:val="20"/>
          <w:szCs w:val="20"/>
          <w:lang w:val="en-GB" w:eastAsia="en-GB"/>
        </w:rPr>
        <w:t>attachments, slinging loads, off-loading materials</w:t>
      </w:r>
      <w:r>
        <w:rPr>
          <w:rFonts w:eastAsia="Times New Roman"/>
          <w:color w:val="000000"/>
          <w:sz w:val="20"/>
          <w:szCs w:val="20"/>
          <w:lang w:val="en-GB" w:eastAsia="en-GB"/>
        </w:rPr>
        <w:t xml:space="preserve">, must have a </w:t>
      </w:r>
      <w:r w:rsidRPr="00CE75CE">
        <w:rPr>
          <w:rFonts w:eastAsia="Times New Roman"/>
          <w:color w:val="000000"/>
          <w:sz w:val="20"/>
          <w:szCs w:val="20"/>
          <w:lang w:val="en-GB" w:eastAsia="en-GB"/>
        </w:rPr>
        <w:t>safe system of work.</w:t>
      </w:r>
    </w:p>
    <w:p w:rsidR="00356384" w:rsidRPr="00CE75CE" w:rsidRDefault="00CE75CE" w:rsidP="00CE75CE">
      <w:pPr>
        <w:widowControl/>
        <w:spacing w:before="100" w:beforeAutospacing="1" w:after="100" w:afterAutospacing="1"/>
        <w:rPr>
          <w:rFonts w:eastAsia="Times New Roman"/>
          <w:color w:val="000000"/>
          <w:sz w:val="20"/>
          <w:szCs w:val="20"/>
          <w:lang w:val="en-GB" w:eastAsia="en-GB"/>
        </w:rPr>
      </w:pPr>
      <w:r w:rsidRPr="00CE75CE">
        <w:rPr>
          <w:rFonts w:eastAsia="Times New Roman"/>
          <w:color w:val="000000"/>
          <w:sz w:val="20"/>
          <w:szCs w:val="20"/>
          <w:lang w:val="en-GB" w:eastAsia="en-GB"/>
        </w:rPr>
        <w:t xml:space="preserve">The safe system of work must be specific to your site. </w:t>
      </w:r>
      <w:r>
        <w:rPr>
          <w:rFonts w:eastAsia="Times New Roman"/>
          <w:color w:val="000000"/>
          <w:sz w:val="20"/>
          <w:szCs w:val="20"/>
          <w:lang w:val="en-GB" w:eastAsia="en-GB"/>
        </w:rPr>
        <w:t xml:space="preserve">There must be a clear system of </w:t>
      </w:r>
      <w:r w:rsidRPr="00CE75CE">
        <w:rPr>
          <w:rFonts w:eastAsia="Times New Roman"/>
          <w:color w:val="000000"/>
          <w:sz w:val="20"/>
          <w:szCs w:val="20"/>
          <w:lang w:val="en-GB" w:eastAsia="en-GB"/>
        </w:rPr>
        <w:t>communication between the plant operator and workers performing the task.</w:t>
      </w:r>
      <w:r w:rsidR="00130E55" w:rsidRPr="00130E55">
        <w:rPr>
          <w:rFonts w:eastAsia="Calibri"/>
          <w:noProof/>
          <w:sz w:val="24"/>
          <w:szCs w:val="24"/>
          <w:lang w:val="en-GB" w:eastAsia="en-GB"/>
        </w:rPr>
        <w:t xml:space="preserve"> </w:t>
      </w:r>
    </w:p>
    <w:sectPr w:rsidR="00356384" w:rsidRPr="00CE75CE" w:rsidSect="00DE295F">
      <w:headerReference w:type="default" r:id="rId11"/>
      <w:footerReference w:type="default" r:id="rId12"/>
      <w:type w:val="continuous"/>
      <w:pgSz w:w="11900" w:h="16840" w:code="9"/>
      <w:pgMar w:top="2002" w:right="1134" w:bottom="278" w:left="1134" w:header="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23" w:rsidRDefault="00566023" w:rsidP="00FE3013">
      <w:r>
        <w:separator/>
      </w:r>
    </w:p>
  </w:endnote>
  <w:endnote w:type="continuationSeparator" w:id="0">
    <w:p w:rsidR="00566023" w:rsidRDefault="00566023" w:rsidP="00F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1281" w:type="dxa"/>
      <w:tblLook w:val="04A0" w:firstRow="1" w:lastRow="0" w:firstColumn="1" w:lastColumn="0" w:noHBand="0" w:noVBand="1"/>
    </w:tblPr>
    <w:tblGrid>
      <w:gridCol w:w="2392"/>
      <w:gridCol w:w="1583"/>
      <w:gridCol w:w="850"/>
      <w:gridCol w:w="1134"/>
      <w:gridCol w:w="992"/>
      <w:gridCol w:w="851"/>
      <w:gridCol w:w="1154"/>
      <w:gridCol w:w="2101"/>
    </w:tblGrid>
    <w:tr w:rsidR="0062477D" w:rsidTr="00020981">
      <w:tc>
        <w:tcPr>
          <w:tcW w:w="2392" w:type="dxa"/>
          <w:vMerge w:val="restart"/>
          <w:tcBorders>
            <w:top w:val="nil"/>
            <w:left w:val="nil"/>
            <w:right w:val="single" w:sz="4" w:space="0" w:color="777779"/>
          </w:tcBorders>
        </w:tcPr>
        <w:p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Document Name:</w:t>
          </w:r>
        </w:p>
      </w:tc>
      <w:tc>
        <w:tcPr>
          <w:tcW w:w="850"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Ref No:</w:t>
          </w:r>
        </w:p>
      </w:tc>
      <w:tc>
        <w:tcPr>
          <w:tcW w:w="1134"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Owner:</w:t>
          </w:r>
        </w:p>
      </w:tc>
      <w:tc>
        <w:tcPr>
          <w:tcW w:w="992"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Issue Date:</w:t>
          </w:r>
        </w:p>
      </w:tc>
      <w:tc>
        <w:tcPr>
          <w:tcW w:w="851"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Revision:</w:t>
          </w:r>
        </w:p>
      </w:tc>
      <w:tc>
        <w:tcPr>
          <w:tcW w:w="1154"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Page:</w:t>
          </w:r>
        </w:p>
      </w:tc>
      <w:tc>
        <w:tcPr>
          <w:tcW w:w="2101" w:type="dxa"/>
          <w:vMerge w:val="restart"/>
          <w:tcBorders>
            <w:top w:val="nil"/>
            <w:left w:val="single" w:sz="4" w:space="0" w:color="777779"/>
            <w:right w:val="nil"/>
          </w:tcBorders>
        </w:tcPr>
        <w:p w:rsidR="0062477D" w:rsidRDefault="0062477D">
          <w:pPr>
            <w:pStyle w:val="Footer"/>
          </w:pPr>
        </w:p>
      </w:tc>
    </w:tr>
    <w:tr w:rsidR="0062477D" w:rsidTr="00020981">
      <w:trPr>
        <w:trHeight w:val="386"/>
      </w:trPr>
      <w:tc>
        <w:tcPr>
          <w:tcW w:w="2392" w:type="dxa"/>
          <w:vMerge/>
          <w:tcBorders>
            <w:left w:val="nil"/>
            <w:bottom w:val="nil"/>
            <w:right w:val="single" w:sz="4" w:space="0" w:color="777779"/>
          </w:tcBorders>
        </w:tcPr>
        <w:p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DE295F" w:rsidP="0004108E">
          <w:pPr>
            <w:pStyle w:val="Footer"/>
            <w:rPr>
              <w:color w:val="777779"/>
              <w:sz w:val="14"/>
              <w:szCs w:val="14"/>
            </w:rPr>
          </w:pPr>
          <w:r>
            <w:rPr>
              <w:color w:val="777779"/>
              <w:sz w:val="14"/>
              <w:szCs w:val="14"/>
            </w:rPr>
            <w:t>PPI</w:t>
          </w:r>
        </w:p>
      </w:tc>
      <w:tc>
        <w:tcPr>
          <w:tcW w:w="850"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DE295F" w:rsidP="00861D7E">
          <w:pPr>
            <w:pStyle w:val="Footer"/>
            <w:rPr>
              <w:color w:val="777779"/>
              <w:sz w:val="14"/>
              <w:szCs w:val="14"/>
            </w:rPr>
          </w:pPr>
          <w:r>
            <w:rPr>
              <w:color w:val="777779"/>
              <w:sz w:val="14"/>
              <w:szCs w:val="14"/>
            </w:rPr>
            <w:t>TBT 024</w:t>
          </w:r>
        </w:p>
      </w:tc>
      <w:tc>
        <w:tcPr>
          <w:tcW w:w="1134"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020981" w:rsidP="0004108E">
          <w:pPr>
            <w:pStyle w:val="Footer"/>
            <w:rPr>
              <w:color w:val="777779"/>
              <w:sz w:val="14"/>
              <w:szCs w:val="14"/>
            </w:rPr>
          </w:pPr>
          <w:r>
            <w:rPr>
              <w:color w:val="777779"/>
              <w:sz w:val="14"/>
              <w:szCs w:val="14"/>
            </w:rPr>
            <w:t>SHEQ</w:t>
          </w:r>
        </w:p>
      </w:tc>
      <w:tc>
        <w:tcPr>
          <w:tcW w:w="992"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DE295F" w:rsidP="0004108E">
          <w:pPr>
            <w:pStyle w:val="Footer"/>
            <w:rPr>
              <w:color w:val="777779"/>
              <w:sz w:val="14"/>
              <w:szCs w:val="14"/>
            </w:rPr>
          </w:pPr>
          <w:r>
            <w:rPr>
              <w:color w:val="777779"/>
              <w:sz w:val="14"/>
              <w:szCs w:val="14"/>
            </w:rPr>
            <w:t>November</w:t>
          </w:r>
        </w:p>
      </w:tc>
      <w:tc>
        <w:tcPr>
          <w:tcW w:w="851"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D95E41" w:rsidP="0004108E">
          <w:pPr>
            <w:pStyle w:val="Footer"/>
            <w:rPr>
              <w:color w:val="777779"/>
              <w:sz w:val="14"/>
              <w:szCs w:val="14"/>
            </w:rPr>
          </w:pPr>
          <w:r>
            <w:rPr>
              <w:color w:val="777779"/>
              <w:sz w:val="14"/>
              <w:szCs w:val="14"/>
            </w:rPr>
            <w:t>1</w:t>
          </w:r>
        </w:p>
      </w:tc>
      <w:tc>
        <w:tcPr>
          <w:tcW w:w="1154"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020981" w:rsidP="0004108E">
          <w:pPr>
            <w:pStyle w:val="Footer"/>
            <w:rPr>
              <w:color w:val="777779"/>
              <w:sz w:val="14"/>
              <w:szCs w:val="14"/>
            </w:rPr>
          </w:pPr>
          <w:r w:rsidRPr="00020981">
            <w:rPr>
              <w:color w:val="777779"/>
              <w:sz w:val="14"/>
              <w:szCs w:val="14"/>
            </w:rPr>
            <w:t xml:space="preserve">Page </w:t>
          </w:r>
          <w:r w:rsidRPr="00020981">
            <w:rPr>
              <w:b/>
              <w:bCs/>
              <w:color w:val="777779"/>
              <w:sz w:val="14"/>
              <w:szCs w:val="14"/>
            </w:rPr>
            <w:fldChar w:fldCharType="begin"/>
          </w:r>
          <w:r w:rsidRPr="00020981">
            <w:rPr>
              <w:b/>
              <w:bCs/>
              <w:color w:val="777779"/>
              <w:sz w:val="14"/>
              <w:szCs w:val="14"/>
            </w:rPr>
            <w:instrText xml:space="preserve"> PAGE  \* Arabic  \* MERGEFORMAT </w:instrText>
          </w:r>
          <w:r w:rsidRPr="00020981">
            <w:rPr>
              <w:b/>
              <w:bCs/>
              <w:color w:val="777779"/>
              <w:sz w:val="14"/>
              <w:szCs w:val="14"/>
            </w:rPr>
            <w:fldChar w:fldCharType="separate"/>
          </w:r>
          <w:r w:rsidR="002111FB">
            <w:rPr>
              <w:b/>
              <w:bCs/>
              <w:noProof/>
              <w:color w:val="777779"/>
              <w:sz w:val="14"/>
              <w:szCs w:val="14"/>
            </w:rPr>
            <w:t>1</w:t>
          </w:r>
          <w:r w:rsidRPr="00020981">
            <w:rPr>
              <w:b/>
              <w:bCs/>
              <w:color w:val="777779"/>
              <w:sz w:val="14"/>
              <w:szCs w:val="14"/>
            </w:rPr>
            <w:fldChar w:fldCharType="end"/>
          </w:r>
          <w:r w:rsidRPr="00020981">
            <w:rPr>
              <w:color w:val="777779"/>
              <w:sz w:val="14"/>
              <w:szCs w:val="14"/>
            </w:rPr>
            <w:t xml:space="preserve"> of </w:t>
          </w:r>
          <w:r w:rsidRPr="00020981">
            <w:rPr>
              <w:b/>
              <w:bCs/>
              <w:color w:val="777779"/>
              <w:sz w:val="14"/>
              <w:szCs w:val="14"/>
            </w:rPr>
            <w:fldChar w:fldCharType="begin"/>
          </w:r>
          <w:r w:rsidRPr="00020981">
            <w:rPr>
              <w:b/>
              <w:bCs/>
              <w:color w:val="777779"/>
              <w:sz w:val="14"/>
              <w:szCs w:val="14"/>
            </w:rPr>
            <w:instrText xml:space="preserve"> NUMPAGES  \* Arabic  \* MERGEFORMAT </w:instrText>
          </w:r>
          <w:r w:rsidRPr="00020981">
            <w:rPr>
              <w:b/>
              <w:bCs/>
              <w:color w:val="777779"/>
              <w:sz w:val="14"/>
              <w:szCs w:val="14"/>
            </w:rPr>
            <w:fldChar w:fldCharType="separate"/>
          </w:r>
          <w:r w:rsidR="002111FB">
            <w:rPr>
              <w:b/>
              <w:bCs/>
              <w:noProof/>
              <w:color w:val="777779"/>
              <w:sz w:val="14"/>
              <w:szCs w:val="14"/>
            </w:rPr>
            <w:t>2</w:t>
          </w:r>
          <w:r w:rsidRPr="00020981">
            <w:rPr>
              <w:b/>
              <w:bCs/>
              <w:color w:val="777779"/>
              <w:sz w:val="14"/>
              <w:szCs w:val="14"/>
            </w:rPr>
            <w:fldChar w:fldCharType="end"/>
          </w:r>
        </w:p>
      </w:tc>
      <w:tc>
        <w:tcPr>
          <w:tcW w:w="2101" w:type="dxa"/>
          <w:vMerge/>
          <w:tcBorders>
            <w:left w:val="single" w:sz="4" w:space="0" w:color="777779"/>
            <w:bottom w:val="nil"/>
            <w:right w:val="nil"/>
          </w:tcBorders>
        </w:tcPr>
        <w:p w:rsidR="0062477D" w:rsidRDefault="0062477D">
          <w:pPr>
            <w:pStyle w:val="Footer"/>
          </w:pPr>
        </w:p>
      </w:tc>
    </w:tr>
  </w:tbl>
  <w:p w:rsidR="00B23ACA" w:rsidRDefault="00B2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23" w:rsidRDefault="00566023" w:rsidP="00FE3013">
      <w:r>
        <w:separator/>
      </w:r>
    </w:p>
  </w:footnote>
  <w:footnote w:type="continuationSeparator" w:id="0">
    <w:p w:rsidR="00566023" w:rsidRDefault="00566023" w:rsidP="00FE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6" w:rsidRDefault="00532E46" w:rsidP="00CC583A">
    <w:pPr>
      <w:pStyle w:val="Header"/>
      <w:tabs>
        <w:tab w:val="clear" w:pos="4513"/>
        <w:tab w:val="clear" w:pos="9026"/>
        <w:tab w:val="left" w:pos="7042"/>
      </w:tabs>
    </w:pPr>
  </w:p>
  <w:p w:rsidR="00532E46" w:rsidRDefault="00532E46" w:rsidP="00CC583A">
    <w:pPr>
      <w:pStyle w:val="Header"/>
      <w:tabs>
        <w:tab w:val="clear" w:pos="4513"/>
        <w:tab w:val="clear" w:pos="9026"/>
        <w:tab w:val="left" w:pos="7042"/>
      </w:tabs>
    </w:pPr>
  </w:p>
  <w:p w:rsidR="00DE295F" w:rsidRDefault="00DE295F" w:rsidP="00CC583A">
    <w:pPr>
      <w:pStyle w:val="Header"/>
      <w:tabs>
        <w:tab w:val="clear" w:pos="4513"/>
        <w:tab w:val="clear" w:pos="9026"/>
        <w:tab w:val="left" w:pos="7042"/>
      </w:tabs>
    </w:pPr>
  </w:p>
  <w:p w:rsidR="00861D7E" w:rsidRDefault="00155731" w:rsidP="00861D7E">
    <w:pPr>
      <w:pStyle w:val="Header"/>
      <w:tabs>
        <w:tab w:val="clear" w:pos="4513"/>
        <w:tab w:val="clear" w:pos="9026"/>
        <w:tab w:val="left" w:pos="7042"/>
      </w:tabs>
      <w:rPr>
        <w:b/>
        <w:sz w:val="36"/>
        <w:szCs w:val="36"/>
      </w:rPr>
    </w:pPr>
    <w:r w:rsidRPr="00EC7024">
      <w:rPr>
        <w:rFonts w:ascii="Times New Roman"/>
        <w:b/>
        <w:noProof/>
        <w:sz w:val="36"/>
        <w:szCs w:val="36"/>
        <w:lang w:val="en-GB" w:eastAsia="en-GB"/>
      </w:rPr>
      <w:drawing>
        <wp:anchor distT="0" distB="0" distL="114300" distR="114300" simplePos="0" relativeHeight="251659264" behindDoc="1" locked="1" layoutInCell="0" allowOverlap="1" wp14:anchorId="0FAE7DE7" wp14:editId="5CD97B56">
          <wp:simplePos x="0" y="0"/>
          <wp:positionH relativeFrom="column">
            <wp:align>center</wp:align>
          </wp:positionH>
          <wp:positionV relativeFrom="page">
            <wp:posOffset>-14605</wp:posOffset>
          </wp:positionV>
          <wp:extent cx="7549200" cy="1067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48 Breheny SHEQ General Doc Portrait_Header-Footer.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page">
            <wp14:pctWidth>0</wp14:pctWidth>
          </wp14:sizeRelH>
          <wp14:sizeRelV relativeFrom="page">
            <wp14:pctHeight>0</wp14:pctHeight>
          </wp14:sizeRelV>
        </wp:anchor>
      </w:drawing>
    </w:r>
    <w:r w:rsidR="00861D7E">
      <w:rPr>
        <w:b/>
        <w:sz w:val="36"/>
        <w:szCs w:val="36"/>
      </w:rPr>
      <w:t>TOOLBOX TALK</w:t>
    </w:r>
  </w:p>
  <w:p w:rsidR="00425492" w:rsidRPr="00EC7024" w:rsidRDefault="00194088" w:rsidP="00020981">
    <w:pPr>
      <w:pStyle w:val="Header"/>
      <w:tabs>
        <w:tab w:val="clear" w:pos="4513"/>
        <w:tab w:val="clear" w:pos="9026"/>
        <w:tab w:val="left" w:pos="7042"/>
      </w:tabs>
      <w:rPr>
        <w:b/>
        <w:sz w:val="36"/>
        <w:szCs w:val="36"/>
      </w:rPr>
    </w:pPr>
    <w:r>
      <w:rPr>
        <w:b/>
        <w:sz w:val="36"/>
        <w:szCs w:val="36"/>
      </w:rPr>
      <w:t>TBT 0</w:t>
    </w:r>
    <w:r w:rsidR="00DE295F">
      <w:rPr>
        <w:b/>
        <w:sz w:val="36"/>
        <w:szCs w:val="36"/>
      </w:rPr>
      <w:t>24</w:t>
    </w:r>
    <w:r w:rsidR="00ED22D3">
      <w:rPr>
        <w:b/>
        <w:sz w:val="36"/>
        <w:szCs w:val="36"/>
      </w:rPr>
      <w:t xml:space="preserve"> People Plant Interface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7B"/>
    <w:multiLevelType w:val="hybridMultilevel"/>
    <w:tmpl w:val="7D4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7B25"/>
    <w:multiLevelType w:val="hybridMultilevel"/>
    <w:tmpl w:val="0F36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743DF"/>
    <w:multiLevelType w:val="hybridMultilevel"/>
    <w:tmpl w:val="EBBAC26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1C3E"/>
    <w:multiLevelType w:val="hybridMultilevel"/>
    <w:tmpl w:val="5D24AB46"/>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E1EE5"/>
    <w:multiLevelType w:val="hybridMultilevel"/>
    <w:tmpl w:val="E23EFB02"/>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898" w:hanging="360"/>
      </w:pPr>
      <w:rPr>
        <w:rFonts w:ascii="Courier New" w:hAnsi="Courier New" w:cs="Courier New" w:hint="default"/>
      </w:rPr>
    </w:lvl>
    <w:lvl w:ilvl="2" w:tplc="08090005" w:tentative="1">
      <w:start w:val="1"/>
      <w:numFmt w:val="bullet"/>
      <w:lvlText w:val=""/>
      <w:lvlJc w:val="left"/>
      <w:pPr>
        <w:ind w:left="1618" w:hanging="360"/>
      </w:pPr>
      <w:rPr>
        <w:rFonts w:ascii="Wingdings" w:hAnsi="Wingdings" w:hint="default"/>
      </w:rPr>
    </w:lvl>
    <w:lvl w:ilvl="3" w:tplc="08090001" w:tentative="1">
      <w:start w:val="1"/>
      <w:numFmt w:val="bullet"/>
      <w:lvlText w:val=""/>
      <w:lvlJc w:val="left"/>
      <w:pPr>
        <w:ind w:left="2338" w:hanging="360"/>
      </w:pPr>
      <w:rPr>
        <w:rFonts w:ascii="Symbol" w:hAnsi="Symbol" w:hint="default"/>
      </w:rPr>
    </w:lvl>
    <w:lvl w:ilvl="4" w:tplc="08090003" w:tentative="1">
      <w:start w:val="1"/>
      <w:numFmt w:val="bullet"/>
      <w:lvlText w:val="o"/>
      <w:lvlJc w:val="left"/>
      <w:pPr>
        <w:ind w:left="3058" w:hanging="360"/>
      </w:pPr>
      <w:rPr>
        <w:rFonts w:ascii="Courier New" w:hAnsi="Courier New" w:cs="Courier New" w:hint="default"/>
      </w:rPr>
    </w:lvl>
    <w:lvl w:ilvl="5" w:tplc="08090005" w:tentative="1">
      <w:start w:val="1"/>
      <w:numFmt w:val="bullet"/>
      <w:lvlText w:val=""/>
      <w:lvlJc w:val="left"/>
      <w:pPr>
        <w:ind w:left="3778" w:hanging="360"/>
      </w:pPr>
      <w:rPr>
        <w:rFonts w:ascii="Wingdings" w:hAnsi="Wingdings" w:hint="default"/>
      </w:rPr>
    </w:lvl>
    <w:lvl w:ilvl="6" w:tplc="08090001" w:tentative="1">
      <w:start w:val="1"/>
      <w:numFmt w:val="bullet"/>
      <w:lvlText w:val=""/>
      <w:lvlJc w:val="left"/>
      <w:pPr>
        <w:ind w:left="4498" w:hanging="360"/>
      </w:pPr>
      <w:rPr>
        <w:rFonts w:ascii="Symbol" w:hAnsi="Symbol" w:hint="default"/>
      </w:rPr>
    </w:lvl>
    <w:lvl w:ilvl="7" w:tplc="08090003" w:tentative="1">
      <w:start w:val="1"/>
      <w:numFmt w:val="bullet"/>
      <w:lvlText w:val="o"/>
      <w:lvlJc w:val="left"/>
      <w:pPr>
        <w:ind w:left="5218" w:hanging="360"/>
      </w:pPr>
      <w:rPr>
        <w:rFonts w:ascii="Courier New" w:hAnsi="Courier New" w:cs="Courier New" w:hint="default"/>
      </w:rPr>
    </w:lvl>
    <w:lvl w:ilvl="8" w:tplc="08090005" w:tentative="1">
      <w:start w:val="1"/>
      <w:numFmt w:val="bullet"/>
      <w:lvlText w:val=""/>
      <w:lvlJc w:val="left"/>
      <w:pPr>
        <w:ind w:left="5938" w:hanging="360"/>
      </w:pPr>
      <w:rPr>
        <w:rFonts w:ascii="Wingdings" w:hAnsi="Wingdings" w:hint="default"/>
      </w:rPr>
    </w:lvl>
  </w:abstractNum>
  <w:abstractNum w:abstractNumId="5" w15:restartNumberingAfterBreak="0">
    <w:nsid w:val="141D561D"/>
    <w:multiLevelType w:val="hybridMultilevel"/>
    <w:tmpl w:val="C18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58C4"/>
    <w:multiLevelType w:val="hybridMultilevel"/>
    <w:tmpl w:val="090C7988"/>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35D86"/>
    <w:multiLevelType w:val="multilevel"/>
    <w:tmpl w:val="3E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32801"/>
    <w:multiLevelType w:val="hybridMultilevel"/>
    <w:tmpl w:val="ED1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D59AE"/>
    <w:multiLevelType w:val="hybridMultilevel"/>
    <w:tmpl w:val="5FE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44C17"/>
    <w:multiLevelType w:val="multilevel"/>
    <w:tmpl w:val="A004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96E9E"/>
    <w:multiLevelType w:val="hybridMultilevel"/>
    <w:tmpl w:val="6470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697975"/>
    <w:multiLevelType w:val="hybridMultilevel"/>
    <w:tmpl w:val="6D20EF6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52348"/>
    <w:multiLevelType w:val="hybridMultilevel"/>
    <w:tmpl w:val="591E6546"/>
    <w:lvl w:ilvl="0" w:tplc="2A2AE2DC">
      <w:numFmt w:val="bullet"/>
      <w:lvlText w:val=""/>
      <w:lvlJc w:val="left"/>
      <w:pPr>
        <w:ind w:left="1262"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34353"/>
    <w:multiLevelType w:val="multilevel"/>
    <w:tmpl w:val="1042F1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37FD2F5C"/>
    <w:multiLevelType w:val="hybridMultilevel"/>
    <w:tmpl w:val="54106B8C"/>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7403C"/>
    <w:multiLevelType w:val="hybridMultilevel"/>
    <w:tmpl w:val="1000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17E92"/>
    <w:multiLevelType w:val="hybridMultilevel"/>
    <w:tmpl w:val="07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E1E8B"/>
    <w:multiLevelType w:val="hybridMultilevel"/>
    <w:tmpl w:val="C55E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CD2C28"/>
    <w:multiLevelType w:val="hybridMultilevel"/>
    <w:tmpl w:val="8F0E79B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5186C"/>
    <w:multiLevelType w:val="multilevel"/>
    <w:tmpl w:val="3766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2D3FAB"/>
    <w:multiLevelType w:val="hybridMultilevel"/>
    <w:tmpl w:val="AA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13687"/>
    <w:multiLevelType w:val="hybridMultilevel"/>
    <w:tmpl w:val="122C7484"/>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81EF0"/>
    <w:multiLevelType w:val="hybridMultilevel"/>
    <w:tmpl w:val="39C234C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91573"/>
    <w:multiLevelType w:val="hybridMultilevel"/>
    <w:tmpl w:val="13A60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8356B6"/>
    <w:multiLevelType w:val="hybridMultilevel"/>
    <w:tmpl w:val="B886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B87866"/>
    <w:multiLevelType w:val="hybridMultilevel"/>
    <w:tmpl w:val="5C42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A794B"/>
    <w:multiLevelType w:val="hybridMultilevel"/>
    <w:tmpl w:val="E736A96C"/>
    <w:lvl w:ilvl="0" w:tplc="E54E9450">
      <w:numFmt w:val="bullet"/>
      <w:lvlText w:val=""/>
      <w:lvlJc w:val="left"/>
      <w:pPr>
        <w:ind w:left="720" w:hanging="360"/>
      </w:pPr>
      <w:rPr>
        <w:rFonts w:ascii="Wingdings" w:eastAsia="Wingdings" w:hAnsi="Wingdings" w:cs="Wingdings" w:hint="default"/>
        <w:color w:val="00964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573BC"/>
    <w:multiLevelType w:val="hybridMultilevel"/>
    <w:tmpl w:val="971EED20"/>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77ED7"/>
    <w:multiLevelType w:val="hybridMultilevel"/>
    <w:tmpl w:val="9072FC86"/>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E28E0"/>
    <w:multiLevelType w:val="hybridMultilevel"/>
    <w:tmpl w:val="A4D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6"/>
  </w:num>
  <w:num w:numId="5">
    <w:abstractNumId w:val="19"/>
  </w:num>
  <w:num w:numId="6">
    <w:abstractNumId w:val="3"/>
  </w:num>
  <w:num w:numId="7">
    <w:abstractNumId w:val="28"/>
  </w:num>
  <w:num w:numId="8">
    <w:abstractNumId w:val="8"/>
  </w:num>
  <w:num w:numId="9">
    <w:abstractNumId w:val="30"/>
  </w:num>
  <w:num w:numId="10">
    <w:abstractNumId w:val="21"/>
  </w:num>
  <w:num w:numId="11">
    <w:abstractNumId w:val="1"/>
  </w:num>
  <w:num w:numId="12">
    <w:abstractNumId w:val="18"/>
  </w:num>
  <w:num w:numId="13">
    <w:abstractNumId w:val="11"/>
  </w:num>
  <w:num w:numId="14">
    <w:abstractNumId w:val="16"/>
  </w:num>
  <w:num w:numId="15">
    <w:abstractNumId w:val="9"/>
  </w:num>
  <w:num w:numId="16">
    <w:abstractNumId w:val="10"/>
  </w:num>
  <w:num w:numId="17">
    <w:abstractNumId w:val="14"/>
  </w:num>
  <w:num w:numId="18">
    <w:abstractNumId w:val="17"/>
  </w:num>
  <w:num w:numId="19">
    <w:abstractNumId w:val="20"/>
  </w:num>
  <w:num w:numId="20">
    <w:abstractNumId w:val="29"/>
  </w:num>
  <w:num w:numId="21">
    <w:abstractNumId w:val="15"/>
  </w:num>
  <w:num w:numId="22">
    <w:abstractNumId w:val="22"/>
  </w:num>
  <w:num w:numId="23">
    <w:abstractNumId w:val="23"/>
  </w:num>
  <w:num w:numId="24">
    <w:abstractNumId w:val="2"/>
  </w:num>
  <w:num w:numId="25">
    <w:abstractNumId w:val="27"/>
  </w:num>
  <w:num w:numId="26">
    <w:abstractNumId w:val="26"/>
  </w:num>
  <w:num w:numId="27">
    <w:abstractNumId w:val="7"/>
  </w:num>
  <w:num w:numId="28">
    <w:abstractNumId w:val="5"/>
  </w:num>
  <w:num w:numId="29">
    <w:abstractNumId w:val="24"/>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94"/>
    <w:rsid w:val="000009C2"/>
    <w:rsid w:val="00000B9A"/>
    <w:rsid w:val="00017A29"/>
    <w:rsid w:val="00020981"/>
    <w:rsid w:val="0004108E"/>
    <w:rsid w:val="000C62AD"/>
    <w:rsid w:val="000F2800"/>
    <w:rsid w:val="00105917"/>
    <w:rsid w:val="001148E3"/>
    <w:rsid w:val="00117E30"/>
    <w:rsid w:val="00130E55"/>
    <w:rsid w:val="00155731"/>
    <w:rsid w:val="00186FD7"/>
    <w:rsid w:val="00194088"/>
    <w:rsid w:val="001A1131"/>
    <w:rsid w:val="001C7DE1"/>
    <w:rsid w:val="001D625A"/>
    <w:rsid w:val="001F3773"/>
    <w:rsid w:val="002111FB"/>
    <w:rsid w:val="0027383E"/>
    <w:rsid w:val="002B0863"/>
    <w:rsid w:val="002E00CB"/>
    <w:rsid w:val="002E4000"/>
    <w:rsid w:val="002F4CA5"/>
    <w:rsid w:val="00356384"/>
    <w:rsid w:val="00360001"/>
    <w:rsid w:val="00360240"/>
    <w:rsid w:val="00394693"/>
    <w:rsid w:val="003A13FE"/>
    <w:rsid w:val="003B2D0A"/>
    <w:rsid w:val="003B3950"/>
    <w:rsid w:val="003B4F08"/>
    <w:rsid w:val="003D2671"/>
    <w:rsid w:val="003E3BEF"/>
    <w:rsid w:val="003F29CE"/>
    <w:rsid w:val="00403464"/>
    <w:rsid w:val="00423666"/>
    <w:rsid w:val="00425492"/>
    <w:rsid w:val="00456196"/>
    <w:rsid w:val="00486511"/>
    <w:rsid w:val="00495E0F"/>
    <w:rsid w:val="004B4494"/>
    <w:rsid w:val="004C1440"/>
    <w:rsid w:val="004C7E90"/>
    <w:rsid w:val="004F6A99"/>
    <w:rsid w:val="00514B3B"/>
    <w:rsid w:val="00524D81"/>
    <w:rsid w:val="00532E46"/>
    <w:rsid w:val="00544C8C"/>
    <w:rsid w:val="00545CA8"/>
    <w:rsid w:val="00566023"/>
    <w:rsid w:val="005A3E31"/>
    <w:rsid w:val="005F1C3D"/>
    <w:rsid w:val="005F7788"/>
    <w:rsid w:val="0062477D"/>
    <w:rsid w:val="00624B92"/>
    <w:rsid w:val="0065212F"/>
    <w:rsid w:val="0066359B"/>
    <w:rsid w:val="006C4089"/>
    <w:rsid w:val="006F07CB"/>
    <w:rsid w:val="0071278A"/>
    <w:rsid w:val="0074418B"/>
    <w:rsid w:val="00763094"/>
    <w:rsid w:val="0076370C"/>
    <w:rsid w:val="00801D01"/>
    <w:rsid w:val="0082465E"/>
    <w:rsid w:val="00861D7E"/>
    <w:rsid w:val="00886597"/>
    <w:rsid w:val="008931D2"/>
    <w:rsid w:val="008934E8"/>
    <w:rsid w:val="008975F0"/>
    <w:rsid w:val="008A0828"/>
    <w:rsid w:val="008A28A3"/>
    <w:rsid w:val="008C1F14"/>
    <w:rsid w:val="008E39C6"/>
    <w:rsid w:val="008F7959"/>
    <w:rsid w:val="00907396"/>
    <w:rsid w:val="00944DC0"/>
    <w:rsid w:val="00947B86"/>
    <w:rsid w:val="00995646"/>
    <w:rsid w:val="009B0885"/>
    <w:rsid w:val="00A068B7"/>
    <w:rsid w:val="00A25C68"/>
    <w:rsid w:val="00A42E7F"/>
    <w:rsid w:val="00A50B59"/>
    <w:rsid w:val="00A8123B"/>
    <w:rsid w:val="00A836F5"/>
    <w:rsid w:val="00A9346E"/>
    <w:rsid w:val="00B23ACA"/>
    <w:rsid w:val="00B634C4"/>
    <w:rsid w:val="00BA1386"/>
    <w:rsid w:val="00BC37D4"/>
    <w:rsid w:val="00BC6048"/>
    <w:rsid w:val="00C22285"/>
    <w:rsid w:val="00C5717F"/>
    <w:rsid w:val="00CA2630"/>
    <w:rsid w:val="00CC583A"/>
    <w:rsid w:val="00CD5B48"/>
    <w:rsid w:val="00CE75CE"/>
    <w:rsid w:val="00D049ED"/>
    <w:rsid w:val="00D04D2B"/>
    <w:rsid w:val="00D129EF"/>
    <w:rsid w:val="00D22786"/>
    <w:rsid w:val="00D85AF1"/>
    <w:rsid w:val="00D95E41"/>
    <w:rsid w:val="00DA034C"/>
    <w:rsid w:val="00DA3E74"/>
    <w:rsid w:val="00DE295F"/>
    <w:rsid w:val="00E260C4"/>
    <w:rsid w:val="00E70E26"/>
    <w:rsid w:val="00E747DA"/>
    <w:rsid w:val="00E75718"/>
    <w:rsid w:val="00EA2979"/>
    <w:rsid w:val="00EC0E56"/>
    <w:rsid w:val="00EC7024"/>
    <w:rsid w:val="00ED22D3"/>
    <w:rsid w:val="00ED3884"/>
    <w:rsid w:val="00EF4EEE"/>
    <w:rsid w:val="00F0590D"/>
    <w:rsid w:val="00F21812"/>
    <w:rsid w:val="00F220E2"/>
    <w:rsid w:val="00F51E84"/>
    <w:rsid w:val="00F87C77"/>
    <w:rsid w:val="00FB1C50"/>
    <w:rsid w:val="00FC4348"/>
    <w:rsid w:val="00FE3013"/>
    <w:rsid w:val="00FE714C"/>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D9D7AC54-5542-4690-9112-AC2B9D5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23666"/>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009C2"/>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423666"/>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366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366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3666"/>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2366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366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366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013"/>
    <w:pPr>
      <w:tabs>
        <w:tab w:val="center" w:pos="4513"/>
        <w:tab w:val="right" w:pos="9026"/>
      </w:tabs>
    </w:pPr>
  </w:style>
  <w:style w:type="character" w:customStyle="1" w:styleId="HeaderChar">
    <w:name w:val="Header Char"/>
    <w:basedOn w:val="DefaultParagraphFont"/>
    <w:link w:val="Header"/>
    <w:uiPriority w:val="99"/>
    <w:rsid w:val="00FE3013"/>
    <w:rPr>
      <w:rFonts w:ascii="Arial" w:eastAsia="Arial" w:hAnsi="Arial" w:cs="Arial"/>
    </w:rPr>
  </w:style>
  <w:style w:type="paragraph" w:styleId="Footer">
    <w:name w:val="footer"/>
    <w:basedOn w:val="Normal"/>
    <w:link w:val="FooterChar"/>
    <w:uiPriority w:val="99"/>
    <w:unhideWhenUsed/>
    <w:rsid w:val="00FE3013"/>
    <w:pPr>
      <w:tabs>
        <w:tab w:val="center" w:pos="4513"/>
        <w:tab w:val="right" w:pos="9026"/>
      </w:tabs>
    </w:pPr>
  </w:style>
  <w:style w:type="character" w:customStyle="1" w:styleId="FooterChar">
    <w:name w:val="Footer Char"/>
    <w:basedOn w:val="DefaultParagraphFont"/>
    <w:link w:val="Footer"/>
    <w:uiPriority w:val="99"/>
    <w:rsid w:val="00FE3013"/>
    <w:rPr>
      <w:rFonts w:ascii="Arial" w:eastAsia="Arial" w:hAnsi="Arial" w:cs="Arial"/>
    </w:rPr>
  </w:style>
  <w:style w:type="paragraph" w:styleId="NoSpacing">
    <w:name w:val="No Spacing"/>
    <w:uiPriority w:val="1"/>
    <w:qFormat/>
    <w:rsid w:val="00FE3013"/>
    <w:pPr>
      <w:widowControl/>
    </w:pPr>
    <w:rPr>
      <w:rFonts w:eastAsiaTheme="minorEastAsia"/>
      <w:lang w:eastAsia="zh-CN"/>
    </w:rPr>
  </w:style>
  <w:style w:type="character" w:styleId="PlaceholderText">
    <w:name w:val="Placeholder Text"/>
    <w:basedOn w:val="DefaultParagraphFont"/>
    <w:uiPriority w:val="99"/>
    <w:semiHidden/>
    <w:rsid w:val="000C62AD"/>
    <w:rPr>
      <w:color w:val="808080"/>
    </w:rPr>
  </w:style>
  <w:style w:type="table" w:styleId="TableGrid">
    <w:name w:val="Table Grid"/>
    <w:basedOn w:val="TableNormal"/>
    <w:uiPriority w:val="59"/>
    <w:rsid w:val="00B2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eastAsia="Arial" w:hAnsi="Segoe UI" w:cs="Segoe UI"/>
      <w:sz w:val="18"/>
      <w:szCs w:val="18"/>
    </w:rPr>
  </w:style>
  <w:style w:type="paragraph" w:styleId="NormalWeb">
    <w:name w:val="Normal (Web)"/>
    <w:basedOn w:val="Normal"/>
    <w:uiPriority w:val="99"/>
    <w:rsid w:val="00EF4EEE"/>
    <w:pPr>
      <w:widowControl/>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DefaultText">
    <w:name w:val="Default Text"/>
    <w:basedOn w:val="Normal"/>
    <w:rsid w:val="00EF4EEE"/>
    <w:pPr>
      <w:widowControl/>
    </w:pPr>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F21812"/>
    <w:rPr>
      <w:b w:val="0"/>
      <w:bCs w:val="0"/>
      <w:strike w:val="0"/>
      <w:dstrike w:val="0"/>
      <w:color w:val="009900"/>
      <w:u w:val="none"/>
      <w:effect w:val="none"/>
    </w:rPr>
  </w:style>
  <w:style w:type="character" w:customStyle="1" w:styleId="Heading2Char">
    <w:name w:val="Heading 2 Char"/>
    <w:basedOn w:val="DefaultParagraphFont"/>
    <w:link w:val="Heading2"/>
    <w:uiPriority w:val="9"/>
    <w:rsid w:val="000009C2"/>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42366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236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3666"/>
    <w:rPr>
      <w:rFonts w:eastAsiaTheme="minorEastAsia"/>
      <w:b/>
      <w:bCs/>
      <w:sz w:val="28"/>
      <w:szCs w:val="28"/>
    </w:rPr>
  </w:style>
  <w:style w:type="character" w:customStyle="1" w:styleId="Heading5Char">
    <w:name w:val="Heading 5 Char"/>
    <w:basedOn w:val="DefaultParagraphFont"/>
    <w:link w:val="Heading5"/>
    <w:uiPriority w:val="9"/>
    <w:semiHidden/>
    <w:rsid w:val="00423666"/>
    <w:rPr>
      <w:rFonts w:eastAsiaTheme="minorEastAsia"/>
      <w:b/>
      <w:bCs/>
      <w:i/>
      <w:iCs/>
      <w:sz w:val="26"/>
      <w:szCs w:val="26"/>
    </w:rPr>
  </w:style>
  <w:style w:type="character" w:customStyle="1" w:styleId="Heading6Char">
    <w:name w:val="Heading 6 Char"/>
    <w:basedOn w:val="DefaultParagraphFont"/>
    <w:link w:val="Heading6"/>
    <w:rsid w:val="004236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3666"/>
    <w:rPr>
      <w:rFonts w:eastAsiaTheme="minorEastAsia"/>
      <w:sz w:val="24"/>
      <w:szCs w:val="24"/>
    </w:rPr>
  </w:style>
  <w:style w:type="character" w:customStyle="1" w:styleId="Heading8Char">
    <w:name w:val="Heading 8 Char"/>
    <w:basedOn w:val="DefaultParagraphFont"/>
    <w:link w:val="Heading8"/>
    <w:uiPriority w:val="9"/>
    <w:semiHidden/>
    <w:rsid w:val="00423666"/>
    <w:rPr>
      <w:rFonts w:eastAsiaTheme="minorEastAsia"/>
      <w:i/>
      <w:iCs/>
      <w:sz w:val="24"/>
      <w:szCs w:val="24"/>
    </w:rPr>
  </w:style>
  <w:style w:type="character" w:customStyle="1" w:styleId="Heading9Char">
    <w:name w:val="Heading 9 Char"/>
    <w:basedOn w:val="DefaultParagraphFont"/>
    <w:link w:val="Heading9"/>
    <w:uiPriority w:val="9"/>
    <w:semiHidden/>
    <w:rsid w:val="0042366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5236">
      <w:bodyDiv w:val="1"/>
      <w:marLeft w:val="0"/>
      <w:marRight w:val="0"/>
      <w:marTop w:val="0"/>
      <w:marBottom w:val="0"/>
      <w:divBdr>
        <w:top w:val="none" w:sz="0" w:space="0" w:color="auto"/>
        <w:left w:val="none" w:sz="0" w:space="0" w:color="auto"/>
        <w:bottom w:val="none" w:sz="0" w:space="0" w:color="auto"/>
        <w:right w:val="none" w:sz="0" w:space="0" w:color="auto"/>
      </w:divBdr>
      <w:divsChild>
        <w:div w:id="30351249">
          <w:marLeft w:val="0"/>
          <w:marRight w:val="0"/>
          <w:marTop w:val="180"/>
          <w:marBottom w:val="150"/>
          <w:divBdr>
            <w:top w:val="none" w:sz="0" w:space="0" w:color="auto"/>
            <w:left w:val="none" w:sz="0" w:space="0" w:color="auto"/>
            <w:bottom w:val="none" w:sz="0" w:space="0" w:color="auto"/>
            <w:right w:val="none" w:sz="0" w:space="0" w:color="auto"/>
          </w:divBdr>
          <w:divsChild>
            <w:div w:id="318849182">
              <w:marLeft w:val="0"/>
              <w:marRight w:val="0"/>
              <w:marTop w:val="105"/>
              <w:marBottom w:val="0"/>
              <w:divBdr>
                <w:top w:val="none" w:sz="0" w:space="0" w:color="auto"/>
                <w:left w:val="none" w:sz="0" w:space="0" w:color="auto"/>
                <w:bottom w:val="none" w:sz="0" w:space="0" w:color="auto"/>
                <w:right w:val="none" w:sz="0" w:space="0" w:color="auto"/>
              </w:divBdr>
              <w:divsChild>
                <w:div w:id="1553730147">
                  <w:marLeft w:val="0"/>
                  <w:marRight w:val="0"/>
                  <w:marTop w:val="0"/>
                  <w:marBottom w:val="0"/>
                  <w:divBdr>
                    <w:top w:val="none" w:sz="0" w:space="0" w:color="auto"/>
                    <w:left w:val="none" w:sz="0" w:space="0" w:color="auto"/>
                    <w:bottom w:val="none" w:sz="0" w:space="0" w:color="auto"/>
                    <w:right w:val="none" w:sz="0" w:space="0" w:color="auto"/>
                  </w:divBdr>
                  <w:divsChild>
                    <w:div w:id="1303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050">
      <w:bodyDiv w:val="1"/>
      <w:marLeft w:val="0"/>
      <w:marRight w:val="0"/>
      <w:marTop w:val="0"/>
      <w:marBottom w:val="0"/>
      <w:divBdr>
        <w:top w:val="none" w:sz="0" w:space="0" w:color="auto"/>
        <w:left w:val="none" w:sz="0" w:space="0" w:color="auto"/>
        <w:bottom w:val="none" w:sz="0" w:space="0" w:color="auto"/>
        <w:right w:val="none" w:sz="0" w:space="0" w:color="auto"/>
      </w:divBdr>
    </w:div>
    <w:div w:id="1687361504">
      <w:bodyDiv w:val="1"/>
      <w:marLeft w:val="0"/>
      <w:marRight w:val="0"/>
      <w:marTop w:val="0"/>
      <w:marBottom w:val="0"/>
      <w:divBdr>
        <w:top w:val="none" w:sz="0" w:space="0" w:color="auto"/>
        <w:left w:val="none" w:sz="0" w:space="0" w:color="auto"/>
        <w:bottom w:val="none" w:sz="0" w:space="0" w:color="auto"/>
        <w:right w:val="none" w:sz="0" w:space="0" w:color="auto"/>
      </w:divBdr>
      <w:divsChild>
        <w:div w:id="910850419">
          <w:marLeft w:val="0"/>
          <w:marRight w:val="0"/>
          <w:marTop w:val="0"/>
          <w:marBottom w:val="0"/>
          <w:divBdr>
            <w:top w:val="none" w:sz="0" w:space="0" w:color="auto"/>
            <w:left w:val="none" w:sz="0" w:space="0" w:color="auto"/>
            <w:bottom w:val="none" w:sz="0" w:space="0" w:color="auto"/>
            <w:right w:val="none" w:sz="0" w:space="0" w:color="auto"/>
          </w:divBdr>
          <w:divsChild>
            <w:div w:id="5696544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33106089">
                  <w:marLeft w:val="0"/>
                  <w:marRight w:val="0"/>
                  <w:marTop w:val="75"/>
                  <w:marBottom w:val="300"/>
                  <w:divBdr>
                    <w:top w:val="none" w:sz="0" w:space="0" w:color="auto"/>
                    <w:left w:val="none" w:sz="0" w:space="0" w:color="auto"/>
                    <w:bottom w:val="none" w:sz="0" w:space="0" w:color="auto"/>
                    <w:right w:val="none" w:sz="0" w:space="0" w:color="auto"/>
                  </w:divBdr>
                  <w:divsChild>
                    <w:div w:id="1022050207">
                      <w:marLeft w:val="0"/>
                      <w:marRight w:val="0"/>
                      <w:marTop w:val="0"/>
                      <w:marBottom w:val="0"/>
                      <w:divBdr>
                        <w:top w:val="none" w:sz="0" w:space="0" w:color="auto"/>
                        <w:left w:val="none" w:sz="0" w:space="0" w:color="auto"/>
                        <w:bottom w:val="none" w:sz="0" w:space="0" w:color="auto"/>
                        <w:right w:val="none" w:sz="0" w:space="0" w:color="auto"/>
                      </w:divBdr>
                      <w:divsChild>
                        <w:div w:id="1400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2921">
      <w:bodyDiv w:val="1"/>
      <w:marLeft w:val="0"/>
      <w:marRight w:val="0"/>
      <w:marTop w:val="0"/>
      <w:marBottom w:val="0"/>
      <w:divBdr>
        <w:top w:val="none" w:sz="0" w:space="0" w:color="auto"/>
        <w:left w:val="none" w:sz="0" w:space="0" w:color="auto"/>
        <w:bottom w:val="none" w:sz="0" w:space="0" w:color="auto"/>
        <w:right w:val="none" w:sz="0" w:space="0" w:color="auto"/>
      </w:divBdr>
    </w:div>
    <w:div w:id="188536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spPr>
      <a:bodyPr rot="0" vert="horz" wrap="square" lIns="91440" tIns="45720" rIns="91440" bIns="45720" anchor="t" anchorCtr="0" upright="1">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15776 _Letterhead.indd</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15776 _Letterhead.indd</dc:title>
  <dc:subject/>
  <dc:creator>Kirsty Warner</dc:creator>
  <cp:keywords/>
  <dc:description/>
  <cp:lastModifiedBy>Andrew Deas</cp:lastModifiedBy>
  <cp:revision>5</cp:revision>
  <cp:lastPrinted>2017-07-05T15:40:00Z</cp:lastPrinted>
  <dcterms:created xsi:type="dcterms:W3CDTF">2017-10-13T09:16:00Z</dcterms:created>
  <dcterms:modified xsi:type="dcterms:W3CDTF">2020-12-09T16:52:00Z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Adobe InDesign CC 2015 (Macintosh)</vt:lpwstr>
  </property>
  <property fmtid="{D5CDD505-2E9C-101B-9397-08002B2CF9AE}" pid="4" name="LastSaved">
    <vt:filetime>2016-05-20T00:00:00Z</vt:filetime>
  </property>
</Properties>
</file>